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50"/>
        <w:jc w:val="center"/>
      </w:pPr>
      <w:r>
        <w:rPr>
          <w:b/>
          <w:bCs/>
          <w:color w:val="00AA66"/>
          <w:sz w:val="20"/>
          <w:szCs w:val="20"/>
        </w:rPr>
        <w:t xml:space="preserve">VAULTMESH TECHNOLOGIES</w:t>
      </w:r>
    </w:p>
    <w:p>
      <w:pPr>
        <w:spacing w:after="200"/>
        <w:jc w:val="center"/>
      </w:pPr>
      <w:r>
        <w:rPr>
          <w:b/>
          <w:bCs/>
          <w:color w:val="000000"/>
          <w:sz w:val="36"/>
          <w:szCs w:val="36"/>
        </w:rPr>
        <w:t xml:space="preserve">SOVEREIGN INTELLIGENCE OPERATOR</w:t>
      </w:r>
    </w:p>
    <w:p>
      <w:pPr>
        <w:shd w:fill="F5F5F5" w:val="clear"/>
        <w:spacing w:after="300"/>
        <w:jc w:val="center"/>
      </w:pPr>
      <w:r>
        <w:rPr>
          <w:i/>
          <w:iCs/>
          <w:color w:val="666666"/>
          <w:sz w:val="18"/>
          <w:szCs w:val="18"/>
        </w:rPr>
        <w:t xml:space="preserve">24/7 AI-Augmented Security Operations • Cryptographic Proof Systems • Threat Transmutation • Full Data Sovereignty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after="100"/>
            </w:pPr>
            <w:r>
              <w:rPr>
                <w:b/>
                <w:bCs/>
                <w:color w:val="333333"/>
                <w:sz w:val="22"/>
                <w:szCs w:val="22"/>
              </w:rPr>
              <w:t xml:space="preserve">THE CHALLENGE</w:t>
            </w:r>
          </w:p>
          <w:p>
            <w:pPr>
              <w:spacing w:after="50"/>
            </w:pPr>
            <w:r>
              <w:rPr>
                <w:color w:val="00AA66"/>
              </w:rPr>
              <w:t xml:space="preserve">• </w:t>
            </w:r>
            <w:r>
              <w:rPr>
                <w:sz w:val="18"/>
                <w:szCs w:val="18"/>
              </w:rPr>
              <w:t xml:space="preserve">Security costs rise while breaches increase</w:t>
            </w:r>
          </w:p>
          <w:p>
            <w:pPr>
              <w:spacing w:after="50"/>
            </w:pPr>
            <w:r>
              <w:rPr>
                <w:color w:val="00AA66"/>
              </w:rPr>
              <w:t xml:space="preserve">• </w:t>
            </w:r>
            <w:r>
              <w:rPr>
                <w:sz w:val="18"/>
                <w:szCs w:val="18"/>
              </w:rPr>
              <w:t xml:space="preserve">Compliance documentation ≠ actual security</w:t>
            </w:r>
          </w:p>
          <w:p>
            <w:pPr>
              <w:spacing w:after="50"/>
            </w:pPr>
            <w:r>
              <w:rPr>
                <w:color w:val="00AA66"/>
              </w:rPr>
              <w:t xml:space="preserve">• </w:t>
            </w:r>
            <w:r>
              <w:rPr>
                <w:sz w:val="18"/>
                <w:szCs w:val="18"/>
              </w:rPr>
              <w:t xml:space="preserve">Logs can be altered, denied, or lost</w:t>
            </w:r>
          </w:p>
          <w:p>
            <w:pPr>
              <w:spacing w:after="50"/>
            </w:pPr>
            <w:r>
              <w:rPr>
                <w:color w:val="00AA66"/>
              </w:rPr>
              <w:t xml:space="preserve">• </w:t>
            </w:r>
            <w:r>
              <w:rPr>
                <w:sz w:val="18"/>
                <w:szCs w:val="18"/>
              </w:rPr>
              <w:t xml:space="preserve">Cloud dependency creates sovereignty risk</w:t>
            </w:r>
          </w:p>
          <w:p>
            <w:pPr>
              <w:spacing w:after="100"/>
            </w:pPr>
            <w:r>
              <w:rPr>
                <w:color w:val="00AA66"/>
              </w:rPr>
              <w:t xml:space="preserve">• </w:t>
            </w:r>
            <w:r>
              <w:rPr>
                <w:sz w:val="18"/>
                <w:szCs w:val="18"/>
              </w:rPr>
              <w:t xml:space="preserve">Security talent is scarce and expensive</w:t>
            </w:r>
          </w:p>
        </w:tc>
        <w:tc>
          <w:tcPr>
            <w:tcW w:type="dxa" w:w="4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after="100"/>
            </w:pPr>
            <w:r>
              <w:rPr>
                <w:b/>
                <w:bCs/>
                <w:color w:val="00AA66"/>
                <w:sz w:val="22"/>
                <w:szCs w:val="22"/>
              </w:rPr>
              <w:t xml:space="preserve">THE SOLUTION</w:t>
            </w:r>
          </w:p>
          <w:p>
            <w:pPr>
              <w:spacing w:after="50"/>
            </w:pPr>
            <w:r>
              <w:rPr>
                <w:b/>
                <w:bCs/>
                <w:color w:val="00AA66"/>
              </w:rPr>
              <w:t xml:space="preserve">✓ </w:t>
            </w:r>
            <w:r>
              <w:rPr>
                <w:sz w:val="18"/>
                <w:szCs w:val="18"/>
              </w:rPr>
              <w:t xml:space="preserve">Continuous AI-augmented threat detection</w:t>
            </w:r>
          </w:p>
          <w:p>
            <w:pPr>
              <w:spacing w:after="50"/>
            </w:pPr>
            <w:r>
              <w:rPr>
                <w:b/>
                <w:bCs/>
                <w:color w:val="00AA66"/>
              </w:rPr>
              <w:t xml:space="preserve">✓ </w:t>
            </w:r>
            <w:r>
              <w:rPr>
                <w:sz w:val="18"/>
                <w:szCs w:val="18"/>
              </w:rPr>
              <w:t xml:space="preserve">Every event generates cryptographic proof</w:t>
            </w:r>
          </w:p>
          <w:p>
            <w:pPr>
              <w:spacing w:after="50"/>
            </w:pPr>
            <w:r>
              <w:rPr>
                <w:b/>
                <w:bCs/>
                <w:color w:val="00AA66"/>
              </w:rPr>
              <w:t xml:space="preserve">✓ </w:t>
            </w:r>
            <w:r>
              <w:rPr>
                <w:sz w:val="18"/>
                <w:szCs w:val="18"/>
              </w:rPr>
              <w:t xml:space="preserve">Blockchain-anchored immutable audit trail</w:t>
            </w:r>
          </w:p>
          <w:p>
            <w:pPr>
              <w:spacing w:after="50"/>
            </w:pPr>
            <w:r>
              <w:rPr>
                <w:b/>
                <w:bCs/>
                <w:color w:val="00AA66"/>
              </w:rPr>
              <w:t xml:space="preserve">✓ </w:t>
            </w:r>
            <w:r>
              <w:rPr>
                <w:sz w:val="18"/>
                <w:szCs w:val="18"/>
              </w:rPr>
              <w:t xml:space="preserve">Self-hosted, zero cloud dependencies</w:t>
            </w:r>
          </w:p>
          <w:p>
            <w:pPr>
              <w:spacing w:after="100"/>
            </w:pPr>
            <w:r>
              <w:rPr>
                <w:b/>
                <w:bCs/>
                <w:color w:val="00AA66"/>
              </w:rPr>
              <w:t xml:space="preserve">✓ </w:t>
            </w:r>
            <w:r>
              <w:rPr>
                <w:sz w:val="18"/>
                <w:szCs w:val="18"/>
              </w:rPr>
              <w:t xml:space="preserve">Human-AI hybrid operator model</w:t>
            </w:r>
          </w:p>
        </w:tc>
      </w:tr>
    </w:tbl>
    <w:p>
      <w:pPr>
        <w:spacing w:before="200" w:after="100"/>
      </w:pPr>
      <w:r>
        <w:rPr>
          <w:b/>
          <w:bCs/>
          <w:color w:val="333333"/>
          <w:sz w:val="22"/>
          <w:szCs w:val="22"/>
        </w:rPr>
        <w:t xml:space="preserve">CAPABILITY STACK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756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8F5E9" w:val="clear"/>
          </w:tcPr>
          <w:p>
            <w:r>
              <w:rPr>
                <w:b/>
                <w:bCs/>
                <w:sz w:val="18"/>
                <w:szCs w:val="18"/>
              </w:rPr>
              <w:t xml:space="preserve">Proofchain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sz w:val="18"/>
                <w:szCs w:val="18"/>
              </w:rPr>
              <w:t xml:space="preserve">Cryptographic receipts, Merkle trees, RFC-3161 + blockchain anchoring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3F2FD" w:val="clear"/>
          </w:tcPr>
          <w:p>
            <w:r>
              <w:rPr>
                <w:b/>
                <w:bCs/>
                <w:sz w:val="18"/>
                <w:szCs w:val="18"/>
              </w:rPr>
              <w:t xml:space="preserve">Shield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sz w:val="18"/>
                <w:szCs w:val="18"/>
              </w:rPr>
              <w:t xml:space="preserve">Continuous vulnerability scanning, severity classification, real-time alerting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3E0" w:val="clear"/>
          </w:tcPr>
          <w:p>
            <w:r>
              <w:rPr>
                <w:b/>
                <w:bCs/>
                <w:sz w:val="18"/>
                <w:szCs w:val="18"/>
              </w:rPr>
              <w:t xml:space="preserve">TEM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sz w:val="18"/>
                <w:szCs w:val="18"/>
              </w:rPr>
              <w:t xml:space="preserve">Threat Transmutation Engine — converts every attack into defensive rules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3E5F5" w:val="clear"/>
          </w:tcPr>
          <w:p>
            <w:r>
              <w:rPr>
                <w:b/>
                <w:bCs/>
                <w:sz w:val="18"/>
                <w:szCs w:val="18"/>
              </w:rPr>
              <w:t xml:space="preserve">Mesh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sz w:val="18"/>
                <w:szCs w:val="18"/>
              </w:rPr>
              <w:t xml:space="preserve">Zero-trust infrastructure, mTLS, capability-based access control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8EAF6" w:val="clear"/>
          </w:tcPr>
          <w:p>
            <w:r>
              <w:rPr>
                <w:b/>
                <w:bCs/>
                <w:sz w:val="18"/>
                <w:szCs w:val="18"/>
              </w:rPr>
              <w:t xml:space="preserve">Lawchain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sz w:val="18"/>
                <w:szCs w:val="18"/>
              </w:rPr>
              <w:t xml:space="preserve">Governance layer — NIS2, GDPR, DORA compliance with automatic reporting</w:t>
            </w:r>
          </w:p>
        </w:tc>
      </w:tr>
    </w:tbl>
    <w:p>
      <w:pPr>
        <w:spacing w:before="200" w:after="100"/>
      </w:pPr>
      <w:r>
        <w:rPr>
          <w:b/>
          <w:bCs/>
          <w:color w:val="333333"/>
          <w:sz w:val="22"/>
          <w:szCs w:val="22"/>
        </w:rPr>
        <w:t xml:space="preserve">SERVICE TIERS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07D8B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ALBEDO</w:t>
            </w:r>
          </w:p>
          <w:p>
            <w:pPr>
              <w:jc w:val="center"/>
            </w:pPr>
            <w:r>
              <w:rPr>
                <w:color w:val="FFFFFF"/>
                <w:sz w:val="18"/>
                <w:szCs w:val="18"/>
              </w:rPr>
              <w:t xml:space="preserve">€250k/year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AA66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CITRINITAS</w:t>
            </w:r>
          </w:p>
          <w:p>
            <w:pPr>
              <w:jc w:val="center"/>
            </w:pPr>
            <w:r>
              <w:rPr>
                <w:color w:val="FFFFFF"/>
                <w:sz w:val="18"/>
                <w:szCs w:val="18"/>
              </w:rPr>
              <w:t xml:space="preserve">€500k/year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4AA00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RUBEDO</w:t>
            </w:r>
          </w:p>
          <w:p>
            <w:pPr>
              <w:jc w:val="center"/>
            </w:pPr>
            <w:r>
              <w:rPr>
                <w:color w:val="FFFFFF"/>
                <w:sz w:val="18"/>
                <w:szCs w:val="18"/>
              </w:rPr>
              <w:t xml:space="preserve">€1M/year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jc w:val="center"/>
            </w:pPr>
            <w:r>
              <w:rPr>
                <w:sz w:val="16"/>
                <w:szCs w:val="16"/>
              </w:rPr>
              <w:t xml:space="preserve">Foundation coverage
8x5 support
Monthly reports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jc w:val="center"/>
            </w:pPr>
            <w:r>
              <w:rPr>
                <w:sz w:val="16"/>
                <w:szCs w:val="16"/>
              </w:rPr>
              <w:t xml:space="preserve">Full TEM automation
12x5 support
Weekly briefings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jc w:val="center"/>
            </w:pPr>
            <w:r>
              <w:rPr>
                <w:sz w:val="16"/>
                <w:szCs w:val="16"/>
              </w:rPr>
              <w:t xml:space="preserve">24/7 coverage
8d/month on-site
Board reporting</w:t>
            </w:r>
          </w:p>
        </w:tc>
      </w:tr>
    </w:tbl>
    <w:p>
      <w:pPr>
        <w:shd w:fill="1A1A1A" w:val="clear"/>
        <w:spacing w:before="200" w:after="100"/>
        <w:jc w:val="center"/>
      </w:pPr>
      <w:r>
        <w:rPr>
          <w:b/>
          <w:bCs/>
          <w:color w:val="00AA66"/>
          <w:sz w:val="20"/>
          <w:szCs w:val="20"/>
        </w:rPr>
        <w:t xml:space="preserve">KEY DIFFERENTIATOR: </w:t>
      </w:r>
      <w:r>
        <w:rPr>
          <w:i/>
          <w:iCs/>
          <w:color w:val="FFFFFF"/>
          <w:sz w:val="20"/>
          <w:szCs w:val="20"/>
        </w:rPr>
        <w:t xml:space="preserve">Every attack becomes a lesson. Every lesson becomes strength.</w:t>
      </w:r>
    </w:p>
    <w:p>
      <w:pPr>
        <w:spacing w:before="200"/>
        <w:jc w:val="center"/>
      </w:pPr>
      <w:r>
        <w:rPr>
          <w:color w:val="666666"/>
          <w:sz w:val="18"/>
          <w:szCs w:val="18"/>
        </w:rPr>
        <w:t xml:space="preserve">VaultMesh Technologies  |  Dublin, Ireland  |  sovereign@vaultmesh.io</w:t>
      </w:r>
    </w:p>
    <w:p>
      <w:pPr>
        <w:spacing w:before="100"/>
        <w:jc w:val="center"/>
      </w:pPr>
      <w:r>
        <w:rPr>
          <w:i/>
          <w:iCs/>
          <w:color w:val="CCCCCC"/>
          <w:sz w:val="16"/>
          <w:szCs w:val="16"/>
        </w:rPr>
        <w:t xml:space="preserve">⚗ The clearing is lit. The ledger remembers.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2025-12-08T19:34:35.376Z</dcterms:created>
  <dcterms:modified xsi:type="dcterms:W3CDTF">2025-12-08T19:34:35.376Z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