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jc w:val="center"/>
      </w:pPr>
      <w:r>
        <w:rPr>
          <w:b/>
          <w:bCs/>
          <w:color w:val="00AA66"/>
          <w:sz w:val="24"/>
          <w:szCs w:val="24"/>
        </w:rPr>
        <w:t xml:space="preserve">VAULTMESH TECHNOLOGIES</w:t>
      </w:r>
    </w:p>
    <w:p>
      <w:pPr>
        <w:pStyle w:val="Title"/>
      </w:pPr>
      <w:r>
        <w:t xml:space="preserve">SOVEREIGN INTELLIGENCE OPERATOR</w:t>
      </w:r>
    </w:p>
    <w:p>
      <w:pPr>
        <w:pStyle w:val="Title"/>
      </w:pPr>
      <w:r>
        <w:t xml:space="preserve">SERVICES AGREEMENT</w:t>
      </w:r>
    </w:p>
    <w:p>
      <w:pPr>
        <w:spacing w:after="400"/>
        <w:jc w:val="center"/>
      </w:pPr>
      <w:r>
        <w:rPr>
          <w:b/>
          <w:bCs/>
          <w:color w:val="333333"/>
          <w:sz w:val="24"/>
          <w:szCs w:val="24"/>
        </w:rPr>
        <w:t xml:space="preserve">TIER RUBEDO — €1,000,000 ANNUAL RETAINER</w:t>
      </w:r>
    </w:p>
    <w:p>
      <w:pPr>
        <w:pStyle w:val="Heading1"/>
      </w:pPr>
      <w:r>
        <w:t xml:space="preserve">PARTIES</w:t>
      </w:r>
    </w:p>
    <w:p>
      <w:pPr>
        <w:pStyle w:val="Legal"/>
      </w:pPr>
      <w:r>
        <w:rPr>
          <w:sz w:val="22"/>
          <w:szCs w:val="22"/>
        </w:rPr>
        <w:t xml:space="preserve">This Sovereign Intelligence Operator Services Agreement ("Agreement") is entered into as of </w:t>
      </w:r>
      <w:r>
        <w:rPr>
          <w:b/>
          <w:bCs/>
          <w:sz w:val="22"/>
          <w:szCs w:val="22"/>
        </w:rPr>
        <w:t xml:space="preserve">[DATE]</w:t>
      </w:r>
      <w:r>
        <w:rPr>
          <w:sz w:val="22"/>
          <w:szCs w:val="22"/>
        </w:rPr>
        <w:t xml:space="preserve"> ("Effective Date") by and between:</w:t>
      </w:r>
    </w:p>
    <w:p>
      <w:pPr>
        <w:pStyle w:val="Legal"/>
      </w:pPr>
      <w:r>
        <w:rPr>
          <w:b/>
          <w:bCs/>
        </w:rPr>
        <w:t xml:space="preserve">PROVIDER: </w:t>
      </w:r>
      <w:r>
        <w:t xml:space="preserve">VaultMesh Technologies, a company registered in Ireland, with principal place of business at Dublin, Ireland ("Operator" or "Provider")</w:t>
      </w:r>
    </w:p>
    <w:p>
      <w:pPr>
        <w:pStyle w:val="Legal"/>
      </w:pPr>
      <w:r>
        <w:rPr>
          <w:b/>
          <w:bCs/>
        </w:rPr>
        <w:t xml:space="preserve">CLIENT: </w:t>
      </w:r>
      <w:r>
        <w:t xml:space="preserve">[CLIENT FULL LEGAL NAME], a [ENTITY TYPE] organized under the laws of [JURISDICTION], with principal place of business at [ADDRESS] ("Client")</w:t>
      </w:r>
    </w:p>
    <w:p>
      <w:pPr>
        <w:pStyle w:val="Legal"/>
      </w:pPr>
      <w:r>
        <w:t xml:space="preserve">Provider and Client are each referred to herein as a "Party" and collectively as the "Parties."</w:t>
      </w:r>
    </w:p>
    <w:p>
      <w:pPr>
        <w:pStyle w:val="Heading1"/>
      </w:pPr>
      <w:r>
        <w:t xml:space="preserve">RECITALS</w:t>
      </w:r>
    </w:p>
    <w:p>
      <w:pPr>
        <w:pStyle w:val="Legal"/>
      </w:pPr>
      <w:r>
        <w:rPr>
          <w:b/>
          <w:bCs/>
        </w:rPr>
        <w:t xml:space="preserve">WHEREAS, </w:t>
      </w:r>
      <w:r>
        <w:t xml:space="preserve">Provider has developed VaultMesh, a sovereign infrastructure platform providing cryptographic proof systems, real-time security monitoring, threat transmutation capabilities, and AI-augmented operational intelligence;</w:t>
      </w:r>
    </w:p>
    <w:p>
      <w:pPr>
        <w:pStyle w:val="Legal"/>
      </w:pPr>
      <w:r>
        <w:rPr>
          <w:b/>
          <w:bCs/>
        </w:rPr>
        <w:t xml:space="preserve">WHEREAS, </w:t>
      </w:r>
      <w:r>
        <w:t xml:space="preserve">Client desires to engage Provider to operate, monitor, and enhance Client's digital infrastructure using the VaultMesh platform and Provider's expertise;</w:t>
      </w:r>
    </w:p>
    <w:p>
      <w:pPr>
        <w:pStyle w:val="Legal"/>
      </w:pPr>
      <w:r>
        <w:rPr>
          <w:b/>
          <w:bCs/>
        </w:rPr>
        <w:t xml:space="preserve">WHEREAS, </w:t>
      </w:r>
      <w:r>
        <w:t xml:space="preserve">Provider is willing to provide such services under the terms and conditions set forth in this Agreement;</w:t>
      </w:r>
    </w:p>
    <w:p>
      <w:pPr>
        <w:pStyle w:val="Legal"/>
      </w:pPr>
      <w:r>
        <w:rPr>
          <w:b/>
          <w:bCs/>
        </w:rPr>
        <w:t xml:space="preserve">NOW, THEREFORE, </w:t>
      </w:r>
      <w:r>
        <w:t xml:space="preserve">in consideration of the mutual covenants and agreements set forth herein, and for other good and valuable consideration, the receipt and sufficiency of which are hereby acknowledged, the Parties agree as follows:</w:t>
      </w:r>
    </w:p>
    <w:p>
      <w:pPr>
        <w:pStyle w:val="Heading1"/>
      </w:pPr>
      <w:r>
        <w:t xml:space="preserve">ARTICLE 1: DEFINITIONS</w:t>
      </w:r>
    </w:p>
    <w:p>
      <w:pPr>
        <w:pStyle w:val="Legal"/>
      </w:pPr>
      <w:r>
        <w:rPr>
          <w:b/>
          <w:bCs/>
        </w:rPr>
        <w:t xml:space="preserve">1.1 "VaultMesh Platform" </w:t>
      </w:r>
      <w:r>
        <w:t xml:space="preserve">means Provider's proprietary sovereign infrastructure system, including but not limited to: Proofchain (cryptographic receipt and anchoring system), Shield (security monitoring and scanning), TEM (Threat Transmutation Engine), Braid (distributed trust verification), Lawchain (governance and compliance), and Command Center (operational interface).</w:t>
      </w:r>
    </w:p>
    <w:p>
      <w:pPr>
        <w:pStyle w:val="Legal"/>
      </w:pPr>
      <w:r>
        <w:rPr>
          <w:b/>
          <w:bCs/>
        </w:rPr>
        <w:t xml:space="preserve">1.2 "Services" </w:t>
      </w:r>
      <w:r>
        <w:t xml:space="preserve">means the Tier Rubedo Sovereign Intelligence Operator services as described in Schedule A, including 24/7 monitoring, threat response, compliance documentation, and strategic advisory.</w:t>
      </w:r>
    </w:p>
    <w:p>
      <w:pPr>
        <w:pStyle w:val="Legal"/>
      </w:pPr>
      <w:r>
        <w:rPr>
          <w:b/>
          <w:bCs/>
        </w:rPr>
        <w:t xml:space="preserve">1.3 "Proofs" </w:t>
      </w:r>
      <w:r>
        <w:t xml:space="preserve">means cryptographic receipts generated by the VaultMesh Platform documenting events, actions, and system states, including Merkle tree roots, BLAKE2b hashes, and blockchain anchoring records.</w:t>
      </w:r>
    </w:p>
    <w:p>
      <w:pPr>
        <w:pStyle w:val="Legal"/>
      </w:pPr>
      <w:r>
        <w:rPr>
          <w:b/>
          <w:bCs/>
        </w:rPr>
        <w:t xml:space="preserve">1.4 "Client Data" </w:t>
      </w:r>
      <w:r>
        <w:t xml:space="preserve">means all data, information, and materials provided by Client to Provider or processed by the VaultMesh Platform on Client's behalf.</w:t>
      </w:r>
    </w:p>
    <w:p>
      <w:pPr>
        <w:pStyle w:val="Legal"/>
      </w:pPr>
      <w:r>
        <w:rPr>
          <w:b/>
          <w:bCs/>
        </w:rPr>
        <w:t xml:space="preserve">1.5 "Confidential Information" </w:t>
      </w:r>
      <w:r>
        <w:t xml:space="preserve">means any non-public information disclosed by either Party to the other, whether in writing, orally, or by inspection, including technical data, trade secrets, business strategies, and Client Data.</w:t>
      </w:r>
    </w:p>
    <w:p>
      <w:r>
        <w:br w:type="page"/>
      </w:r>
    </w:p>
    <w:p>
      <w:pPr>
        <w:pStyle w:val="Heading1"/>
      </w:pPr>
      <w:r>
        <w:t xml:space="preserve">ARTICLE 2: SERVICES</w:t>
      </w:r>
    </w:p>
    <w:p>
      <w:pPr>
        <w:pStyle w:val="Legal"/>
      </w:pPr>
      <w:r>
        <w:rPr>
          <w:b/>
          <w:bCs/>
        </w:rPr>
        <w:t xml:space="preserve">2.1 Scope. </w:t>
      </w:r>
      <w:r>
        <w:t xml:space="preserve">Provider shall provide the Services described in Schedule A (Service Level Agreement) throughout the Term of this Agreement. Services shall be performed with the skill and care of a qualified professional.</w:t>
      </w:r>
    </w:p>
    <w:p>
      <w:pPr>
        <w:pStyle w:val="Legal"/>
      </w:pPr>
      <w:r>
        <w:rPr>
          <w:b/>
          <w:bCs/>
        </w:rPr>
        <w:t xml:space="preserve">2.2 Deployment. </w:t>
      </w:r>
      <w:r>
        <w:t xml:space="preserve">Provider shall deploy the VaultMesh Platform on Client's infrastructure within thirty (30) days of the Effective Date. Deployment shall be self-hosted with zero external cloud dependencies unless otherwise agreed in writing.</w:t>
      </w:r>
    </w:p>
    <w:p>
      <w:pPr>
        <w:pStyle w:val="Legal"/>
      </w:pPr>
      <w:r>
        <w:rPr>
          <w:b/>
          <w:bCs/>
        </w:rPr>
        <w:t xml:space="preserve">2.3 Operator Presence. </w:t>
      </w:r>
      <w:r>
        <w:t xml:space="preserve">Under Tier Rubedo, Provider shall provide a minimum of eight (8) days per month of on-site operator presence at Client's designated location(s), unless otherwise agreed in writing.</w:t>
      </w:r>
    </w:p>
    <w:p>
      <w:pPr>
        <w:pStyle w:val="Legal"/>
      </w:pPr>
      <w:r>
        <w:rPr>
          <w:b/>
          <w:bCs/>
        </w:rPr>
        <w:t xml:space="preserve">2.4 Response Times. </w:t>
      </w:r>
      <w:r>
        <w:t xml:space="preserve">Provider commits to the following response times for security incidents: Critical (15 minutes acknowledgment, 2 hours containment), High (1 hour acknowledgment, 8 hours resolution), Medium (4 hours acknowledgment, 24 hours resolution), Low (24 hours acknowledgment, 5 business days resolution).</w:t>
      </w:r>
    </w:p>
    <w:p>
      <w:pPr>
        <w:pStyle w:val="Legal"/>
      </w:pPr>
      <w:r>
        <w:rPr>
          <w:b/>
          <w:bCs/>
        </w:rPr>
        <w:t xml:space="preserve">2.5 Reporting. </w:t>
      </w:r>
      <w:r>
        <w:t xml:space="preserve">Provider shall deliver: weekly operational briefings, monthly executive reports, and quarterly board-ready security assessments. All reports shall include relevant Proofs from the VaultMesh Platform.</w:t>
      </w:r>
    </w:p>
    <w:p>
      <w:pPr>
        <w:pStyle w:val="Heading1"/>
      </w:pPr>
      <w:r>
        <w:t xml:space="preserve">ARTICLE 3: FEES AND PAYMENT</w:t>
      </w:r>
    </w:p>
    <w:p>
      <w:pPr>
        <w:pStyle w:val="Legal"/>
      </w:pPr>
      <w:r>
        <w:rPr>
          <w:b/>
          <w:bCs/>
        </w:rPr>
        <w:t xml:space="preserve">3.1 Annual Retainer. </w:t>
      </w:r>
      <w:r>
        <w:t xml:space="preserve">Client shall pay Provider an annual retainer of One Million Euros (€1,000,000) for the Services described herein ("Annual Fee").</w:t>
      </w:r>
    </w:p>
    <w:p>
      <w:pPr>
        <w:pStyle w:val="Legal"/>
      </w:pPr>
      <w:r>
        <w:rPr>
          <w:b/>
          <w:bCs/>
        </w:rPr>
        <w:t xml:space="preserve">3.2 Payment Schedule. </w:t>
      </w:r>
      <w:r>
        <w:t xml:space="preserve">The Annual Fee shall be payable in four (4) equal quarterly installments of Two Hundred Fifty Thousand Euros (€250,000) each, due in advance on the first day of each quarter during the Term.</w:t>
      </w:r>
    </w:p>
    <w:p>
      <w:pPr>
        <w:pStyle w:val="Legal"/>
      </w:pPr>
      <w:r>
        <w:rPr>
          <w:b/>
          <w:bCs/>
        </w:rPr>
        <w:t xml:space="preserve">3.3 Late Payment. </w:t>
      </w:r>
      <w:r>
        <w:t xml:space="preserve">Any payment not received within fifteen (15) days of its due date shall bear interest at the rate of 1.5% per month (or the maximum rate permitted by applicable law, if lower) from the due date until paid in full.</w:t>
      </w:r>
    </w:p>
    <w:p>
      <w:pPr>
        <w:pStyle w:val="Legal"/>
      </w:pPr>
      <w:r>
        <w:rPr>
          <w:b/>
          <w:bCs/>
        </w:rPr>
        <w:t xml:space="preserve">3.4 Expenses. </w:t>
      </w:r>
      <w:r>
        <w:t xml:space="preserve">Client shall reimburse Provider for reasonable, pre-approved travel and accommodation expenses incurred in connection with on-site Services. Expenses exceeding €5,000 per month require written approval.</w:t>
      </w:r>
    </w:p>
    <w:p>
      <w:pPr>
        <w:pStyle w:val="Legal"/>
      </w:pPr>
      <w:r>
        <w:rPr>
          <w:b/>
          <w:bCs/>
        </w:rPr>
        <w:t xml:space="preserve">3.5 Custom Development. </w:t>
      </w:r>
      <w:r>
        <w:t xml:space="preserve">The Annual Fee includes up to two hundred (200) hours of custom integration development per year. Additional development shall be billed at €500/hour with prior written approval.</w:t>
      </w:r>
    </w:p>
    <w:p>
      <w:pPr>
        <w:pStyle w:val="Heading1"/>
      </w:pPr>
      <w:r>
        <w:t xml:space="preserve">ARTICLE 4: TERM AND TERMINATION</w:t>
      </w:r>
    </w:p>
    <w:p>
      <w:pPr>
        <w:pStyle w:val="Legal"/>
      </w:pPr>
      <w:r>
        <w:rPr>
          <w:b/>
          <w:bCs/>
        </w:rPr>
        <w:t xml:space="preserve">4.1 Initial Term. </w:t>
      </w:r>
      <w:r>
        <w:t xml:space="preserve">This Agreement shall commence on the Effective Date and continue for an initial term of twelve (12) months ("Initial Term").</w:t>
      </w:r>
    </w:p>
    <w:p>
      <w:pPr>
        <w:pStyle w:val="Legal"/>
      </w:pPr>
      <w:r>
        <w:rPr>
          <w:b/>
          <w:bCs/>
        </w:rPr>
        <w:t xml:space="preserve">4.2 Renewal. </w:t>
      </w:r>
      <w:r>
        <w:t xml:space="preserve">This Agreement shall automatically renew for successive twelve (12) month periods (each, a "Renewal Term") unless either Party provides written notice of non-renewal at least ninety (90) days prior to the end of the then-current Term.</w:t>
      </w:r>
    </w:p>
    <w:p>
      <w:pPr>
        <w:pStyle w:val="Legal"/>
      </w:pPr>
      <w:r>
        <w:rPr>
          <w:b/>
          <w:bCs/>
        </w:rPr>
        <w:t xml:space="preserve">4.3 Termination for Cause. </w:t>
      </w:r>
      <w:r>
        <w:t xml:space="preserve">Either Party may terminate this Agreement immediately upon written notice if the other Party: (a) materially breaches this Agreement and fails to cure such breach within thirty (30) days of written notice; or (b) becomes insolvent, files for bankruptcy, or makes an assignment for the benefit of creditors.</w:t>
      </w:r>
    </w:p>
    <w:p>
      <w:pPr>
        <w:pStyle w:val="Legal"/>
      </w:pPr>
      <w:r>
        <w:rPr>
          <w:b/>
          <w:bCs/>
        </w:rPr>
        <w:t xml:space="preserve">4.4 Transition Assistance. </w:t>
      </w:r>
      <w:r>
        <w:t xml:space="preserve">Upon termination or expiration, Provider shall provide reasonable transition assistance for up to sixty (60) days, including export of all Client Data and Proofs in standard formats.</w:t>
      </w:r>
    </w:p>
    <w:p>
      <w:r>
        <w:br w:type="page"/>
      </w:r>
    </w:p>
    <w:p>
      <w:pPr>
        <w:pStyle w:val="Heading1"/>
      </w:pPr>
      <w:r>
        <w:t xml:space="preserve">ARTICLE 5: INTELLECTUAL PROPERTY</w:t>
      </w:r>
    </w:p>
    <w:p>
      <w:pPr>
        <w:pStyle w:val="Legal"/>
      </w:pPr>
      <w:r>
        <w:rPr>
          <w:b/>
          <w:bCs/>
        </w:rPr>
        <w:t xml:space="preserve">5.1 Provider IP. </w:t>
      </w:r>
      <w:r>
        <w:t xml:space="preserve">Provider retains all right, title, and interest in and to the VaultMesh Platform, including all modifications, enhancements, and derivative works. Nothing in this Agreement transfers ownership of Provider's intellectual property to Client.</w:t>
      </w:r>
    </w:p>
    <w:p>
      <w:pPr>
        <w:pStyle w:val="Legal"/>
      </w:pPr>
      <w:r>
        <w:rPr>
          <w:b/>
          <w:bCs/>
        </w:rPr>
        <w:t xml:space="preserve">5.2 Client IP. </w:t>
      </w:r>
      <w:r>
        <w:t xml:space="preserve">Client retains all right, title, and interest in and to Client Data and any pre-existing intellectual property of Client.</w:t>
      </w:r>
    </w:p>
    <w:p>
      <w:pPr>
        <w:pStyle w:val="Legal"/>
      </w:pPr>
      <w:r>
        <w:rPr>
          <w:b/>
          <w:bCs/>
        </w:rPr>
        <w:t xml:space="preserve">5.3 Custom Developments. </w:t>
      </w:r>
      <w:r>
        <w:t xml:space="preserve">Custom integrations and configurations developed specifically for Client under this Agreement ("Custom Developments") shall become the property of Client upon full payment. Provider retains a non-exclusive license to use methodologies and techniques developed during Custom Developments for other clients.</w:t>
      </w:r>
    </w:p>
    <w:p>
      <w:pPr>
        <w:pStyle w:val="Legal"/>
      </w:pPr>
      <w:r>
        <w:rPr>
          <w:b/>
          <w:bCs/>
        </w:rPr>
        <w:t xml:space="preserve">5.4 Proofs. </w:t>
      </w:r>
      <w:r>
        <w:t xml:space="preserve">All Proofs generated by the VaultMesh Platform in connection with Client's infrastructure shall be the property of Client. Provider shall not use, disclose, or retain Proofs except as necessary to provide the Services.</w:t>
      </w:r>
    </w:p>
    <w:p>
      <w:pPr>
        <w:pStyle w:val="Heading1"/>
      </w:pPr>
      <w:r>
        <w:t xml:space="preserve">ARTICLE 6: CONFIDENTIALITY</w:t>
      </w:r>
    </w:p>
    <w:p>
      <w:pPr>
        <w:pStyle w:val="Legal"/>
      </w:pPr>
      <w:r>
        <w:rPr>
          <w:b/>
          <w:bCs/>
        </w:rPr>
        <w:t xml:space="preserve">6.1 Obligations. </w:t>
      </w:r>
      <w:r>
        <w:t xml:space="preserve">Each Party agrees to: (a) hold Confidential Information in strict confidence; (b) not disclose Confidential Information to any third party without prior written consent; (c) use Confidential Information only for purposes of this Agreement; and (d) protect Confidential Information with at least the same degree of care it uses for its own confidential information.</w:t>
      </w:r>
    </w:p>
    <w:p>
      <w:pPr>
        <w:pStyle w:val="Legal"/>
      </w:pPr>
      <w:r>
        <w:rPr>
          <w:b/>
          <w:bCs/>
        </w:rPr>
        <w:t xml:space="preserve">6.2 Exceptions. </w:t>
      </w:r>
      <w:r>
        <w:t xml:space="preserve">Confidentiality obligations do not apply to information that: (a) is or becomes publicly available through no fault of the receiving Party; (b) was known to the receiving Party prior to disclosure; (c) is independently developed by the receiving Party; or (d) is required to be disclosed by law, provided the receiving Party gives prompt notice and cooperates with protective measures.</w:t>
      </w:r>
    </w:p>
    <w:p>
      <w:pPr>
        <w:pStyle w:val="Legal"/>
      </w:pPr>
      <w:r>
        <w:rPr>
          <w:b/>
          <w:bCs/>
        </w:rPr>
        <w:t xml:space="preserve">6.3 Duration. </w:t>
      </w:r>
      <w:r>
        <w:t xml:space="preserve">Confidentiality obligations shall survive termination of this Agreement for a period of five (5) years, except for trade secrets, which shall be protected indefinitely.</w:t>
      </w:r>
    </w:p>
    <w:p>
      <w:pPr>
        <w:pStyle w:val="Heading1"/>
      </w:pPr>
      <w:r>
        <w:t xml:space="preserve">ARTICLE 7: DATA PROTECTION</w:t>
      </w:r>
    </w:p>
    <w:p>
      <w:pPr>
        <w:pStyle w:val="Legal"/>
      </w:pPr>
      <w:r>
        <w:rPr>
          <w:b/>
          <w:bCs/>
        </w:rPr>
        <w:t xml:space="preserve">7.1 Data Sovereignty. </w:t>
      </w:r>
      <w:r>
        <w:t xml:space="preserve">All Client Data shall be processed and stored within Client's own infrastructure. Provider shall not transfer Client Data to external systems or third-party services without explicit written authorization.</w:t>
      </w:r>
    </w:p>
    <w:p>
      <w:pPr>
        <w:pStyle w:val="Legal"/>
      </w:pPr>
      <w:r>
        <w:rPr>
          <w:b/>
          <w:bCs/>
        </w:rPr>
        <w:t xml:space="preserve">7.2 GDPR Compliance. </w:t>
      </w:r>
      <w:r>
        <w:t xml:space="preserve">To the extent Provider processes personal data on behalf of Client, Provider shall act as a data processor and comply with applicable provisions of the General Data Protection Regulation (EU) 2016/679 ("GDPR"). A Data Processing Agreement is attached as Schedule B.</w:t>
      </w:r>
    </w:p>
    <w:p>
      <w:pPr>
        <w:pStyle w:val="Legal"/>
      </w:pPr>
      <w:r>
        <w:rPr>
          <w:b/>
          <w:bCs/>
        </w:rPr>
        <w:t xml:space="preserve">7.3 Security Measures. </w:t>
      </w:r>
      <w:r>
        <w:t xml:space="preserve">Provider shall implement and maintain appropriate technical and organizational measures to protect Client Data, including encryption at rest and in transit, access controls, and audit logging through the VaultMesh Proofchain.</w:t>
      </w:r>
    </w:p>
    <w:p>
      <w:pPr>
        <w:pStyle w:val="Heading1"/>
      </w:pPr>
      <w:r>
        <w:t xml:space="preserve">ARTICLE 8: WARRANTIES AND DISCLAIMERS</w:t>
      </w:r>
    </w:p>
    <w:p>
      <w:pPr>
        <w:pStyle w:val="Legal"/>
      </w:pPr>
      <w:r>
        <w:rPr>
          <w:b/>
          <w:bCs/>
        </w:rPr>
        <w:t xml:space="preserve">8.1 Provider Warranties. </w:t>
      </w:r>
      <w:r>
        <w:t xml:space="preserve">Provider warrants that: (a) Services will be performed in a professional and workmanlike manner; (b) Provider has the right to provide the Services; (c) the VaultMesh Platform will substantially perform in accordance with its documentation.</w:t>
      </w:r>
    </w:p>
    <w:p>
      <w:pPr>
        <w:pStyle w:val="Legal"/>
      </w:pPr>
      <w:r>
        <w:rPr>
          <w:b/>
          <w:bCs/>
        </w:rPr>
        <w:t xml:space="preserve">8.2 Disclaimer. </w:t>
      </w:r>
      <w:r>
        <w:t xml:space="preserve">EXCEPT AS EXPRESSLY SET FORTH IN THIS AGREEMENT, PROVIDER MAKES NO WARRANTIES, EXPRESS OR IMPLIED, INCLUDING ANY WARRANTIES OF MERCHANTABILITY, FITNESS FOR A PARTICULAR PURPOSE, OR NON-INFRINGEMENT. PROVIDER DOES NOT WARRANT THAT THE SERVICES WILL BE ERROR-FREE OR THAT ALL SECURITY THREATS WILL BE DETECTED OR PREVENTED.</w:t>
      </w:r>
    </w:p>
    <w:p>
      <w:r>
        <w:br w:type="page"/>
      </w:r>
    </w:p>
    <w:p>
      <w:pPr>
        <w:pStyle w:val="Heading1"/>
      </w:pPr>
      <w:r>
        <w:t xml:space="preserve">ARTICLE 9: LIMITATION OF LIABILITY</w:t>
      </w:r>
    </w:p>
    <w:p>
      <w:pPr>
        <w:pStyle w:val="Legal"/>
      </w:pPr>
      <w:r>
        <w:rPr>
          <w:b/>
          <w:bCs/>
        </w:rPr>
        <w:t xml:space="preserve">9.1 Cap on Liability. </w:t>
      </w:r>
      <w:r>
        <w:t xml:space="preserve">EXCEPT FOR BREACHES OF ARTICLE 6 (CONFIDENTIALITY) OR ARTICLE 7 (DATA PROTECTION), PROVIDER'S TOTAL LIABILITY ARISING OUT OF OR RELATED TO THIS AGREEMENT SHALL NOT EXCEED THE TOTAL FEES PAID BY CLIENT DURING THE TWELVE (12) MONTHS PRECEDING THE CLAIM.</w:t>
      </w:r>
    </w:p>
    <w:p>
      <w:pPr>
        <w:pStyle w:val="Legal"/>
      </w:pPr>
      <w:r>
        <w:rPr>
          <w:b/>
          <w:bCs/>
        </w:rPr>
        <w:t xml:space="preserve">9.2 Exclusion of Damages. </w:t>
      </w:r>
      <w:r>
        <w:t xml:space="preserve">IN NO EVENT SHALL EITHER PARTY BE LIABLE FOR ANY INDIRECT, INCIDENTAL, SPECIAL, CONSEQUENTIAL, OR PUNITIVE DAMAGES, INCLUDING LOST PROFITS, LOST DATA, OR BUSINESS INTERRUPTION, EVEN IF ADVISED OF THE POSSIBILITY OF SUCH DAMAGES.</w:t>
      </w:r>
    </w:p>
    <w:p>
      <w:pPr>
        <w:pStyle w:val="Heading1"/>
      </w:pPr>
      <w:r>
        <w:t xml:space="preserve">ARTICLE 10: INDEMNIFICATION</w:t>
      </w:r>
    </w:p>
    <w:p>
      <w:pPr>
        <w:pStyle w:val="Legal"/>
      </w:pPr>
      <w:r>
        <w:rPr>
          <w:b/>
          <w:bCs/>
        </w:rPr>
        <w:t xml:space="preserve">10.1 By Provider. </w:t>
      </w:r>
      <w:r>
        <w:t xml:space="preserve">Provider shall indemnify, defend, and hold harmless Client from and against any third-party claims arising from: (a) Provider's gross negligence or willful misconduct; (b) infringement of any intellectual property right by the VaultMesh Platform.</w:t>
      </w:r>
    </w:p>
    <w:p>
      <w:pPr>
        <w:pStyle w:val="Legal"/>
      </w:pPr>
      <w:r>
        <w:rPr>
          <w:b/>
          <w:bCs/>
        </w:rPr>
        <w:t xml:space="preserve">10.2 By Client. </w:t>
      </w:r>
      <w:r>
        <w:t xml:space="preserve">Client shall indemnify, defend, and hold harmless Provider from and against any third-party claims arising from: (a) Client's use of the Services in violation of this Agreement; (b) Client Data or its processing.</w:t>
      </w:r>
    </w:p>
    <w:p>
      <w:pPr>
        <w:pStyle w:val="Heading1"/>
      </w:pPr>
      <w:r>
        <w:t xml:space="preserve">ARTICLE 11: GENERAL PROVISIONS</w:t>
      </w:r>
    </w:p>
    <w:p>
      <w:pPr>
        <w:pStyle w:val="Legal"/>
      </w:pPr>
      <w:r>
        <w:rPr>
          <w:b/>
          <w:bCs/>
        </w:rPr>
        <w:t xml:space="preserve">11.1 Governing Law. </w:t>
      </w:r>
      <w:r>
        <w:t xml:space="preserve">This Agreement shall be governed by and construed in accordance with the laws of Ireland, without regard to conflict of law principles.</w:t>
      </w:r>
    </w:p>
    <w:p>
      <w:pPr>
        <w:pStyle w:val="Legal"/>
      </w:pPr>
      <w:r>
        <w:rPr>
          <w:b/>
          <w:bCs/>
        </w:rPr>
        <w:t xml:space="preserve">11.2 Dispute Resolution. </w:t>
      </w:r>
      <w:r>
        <w:t xml:space="preserve">Any dispute arising out of or relating to this Agreement shall be resolved through good faith negotiation. If not resolved within thirty (30) days, disputes shall be submitted to binding arbitration in Dublin, Ireland under ICC Rules.</w:t>
      </w:r>
    </w:p>
    <w:p>
      <w:pPr>
        <w:pStyle w:val="Legal"/>
      </w:pPr>
      <w:r>
        <w:rPr>
          <w:b/>
          <w:bCs/>
        </w:rPr>
        <w:t xml:space="preserve">11.3 Force Majeure. </w:t>
      </w:r>
      <w:r>
        <w:t xml:space="preserve">Neither Party shall be liable for delays or failures in performance resulting from circumstances beyond its reasonable control, including acts of God, war, terrorism, or government action.</w:t>
      </w:r>
    </w:p>
    <w:p>
      <w:pPr>
        <w:pStyle w:val="Legal"/>
      </w:pPr>
      <w:r>
        <w:rPr>
          <w:b/>
          <w:bCs/>
        </w:rPr>
        <w:t xml:space="preserve">11.4 Assignment. </w:t>
      </w:r>
      <w:r>
        <w:t xml:space="preserve">Neither Party may assign this Agreement without prior written consent of the other Party, except in connection with a merger or acquisition of substantially all assets.</w:t>
      </w:r>
    </w:p>
    <w:p>
      <w:pPr>
        <w:pStyle w:val="Legal"/>
      </w:pPr>
      <w:r>
        <w:rPr>
          <w:b/>
          <w:bCs/>
        </w:rPr>
        <w:t xml:space="preserve">11.5 Entire Agreement. </w:t>
      </w:r>
      <w:r>
        <w:t xml:space="preserve">This Agreement, including all Schedules, constitutes the entire agreement between the Parties and supersedes all prior negotiations, representations, or agreements relating to the subject matter hereof.</w:t>
      </w:r>
    </w:p>
    <w:p>
      <w:pPr>
        <w:pStyle w:val="Legal"/>
      </w:pPr>
      <w:r>
        <w:rPr>
          <w:b/>
          <w:bCs/>
        </w:rPr>
        <w:t xml:space="preserve">11.6 Amendments. </w:t>
      </w:r>
      <w:r>
        <w:t xml:space="preserve">This Agreement may not be modified except by a written instrument signed by both Parties.</w:t>
      </w:r>
    </w:p>
    <w:p>
      <w:pPr>
        <w:pStyle w:val="Legal"/>
      </w:pPr>
      <w:r>
        <w:rPr>
          <w:b/>
          <w:bCs/>
        </w:rPr>
        <w:t xml:space="preserve">11.7 Severability. </w:t>
      </w:r>
      <w:r>
        <w:t xml:space="preserve">If any provision of this Agreement is held invalid or unenforceable, the remaining provisions shall continue in full force and effect.</w:t>
      </w:r>
    </w:p>
    <w:p>
      <w:r>
        <w:br w:type="page"/>
      </w:r>
    </w:p>
    <w:p>
      <w:pPr>
        <w:pStyle w:val="Heading1"/>
      </w:pPr>
      <w:r>
        <w:t xml:space="preserve">SIGNATURES</w:t>
      </w:r>
    </w:p>
    <w:p>
      <w:pPr>
        <w:pStyle w:val="Legal"/>
        <w:spacing w:after="300"/>
      </w:pPr>
      <w:r>
        <w:t xml:space="preserve">IN WITNESS WHEREOF, the Parties have executed this Agreement as of the Effective Date.</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999999" w:sz="1"/>
              <w:left w:val="single" w:color="999999" w:sz="1"/>
              <w:bottom w:val="single" w:color="999999" w:sz="1"/>
              <w:right w:val="single" w:color="999999" w:sz="1"/>
            </w:tcBorders>
            <w:shd w:fill="F5F5F5" w:val="clear"/>
          </w:tcPr>
          <w:p>
            <w:pPr>
              <w:spacing w:before="100" w:after="100"/>
              <w:jc w:val="center"/>
            </w:pPr>
            <w:r>
              <w:rPr>
                <w:b/>
                <w:bCs/>
                <w:sz w:val="24"/>
                <w:szCs w:val="24"/>
              </w:rPr>
              <w:t xml:space="preserve">PROVIDER</w:t>
            </w:r>
          </w:p>
        </w:tc>
        <w:tc>
          <w:tcPr>
            <w:tcW w:type="dxa" w:w="4680"/>
            <w:tcBorders>
              <w:top w:val="single" w:color="999999" w:sz="1"/>
              <w:left w:val="single" w:color="999999" w:sz="1"/>
              <w:bottom w:val="single" w:color="999999" w:sz="1"/>
              <w:right w:val="single" w:color="999999" w:sz="1"/>
            </w:tcBorders>
            <w:shd w:fill="F5F5F5" w:val="clear"/>
          </w:tcPr>
          <w:p>
            <w:pPr>
              <w:spacing w:before="100" w:after="100"/>
              <w:jc w:val="center"/>
            </w:pPr>
            <w:r>
              <w:rPr>
                <w:b/>
                <w:bCs/>
                <w:sz w:val="24"/>
                <w:szCs w:val="24"/>
              </w:rPr>
              <w:t xml:space="preserve">CLIENT</w:t>
            </w:r>
          </w:p>
        </w:tc>
      </w:tr>
      <w:tr>
        <w:tc>
          <w:tcPr>
            <w:tcW w:type="dxa" w:w="4680"/>
            <w:tcBorders>
              <w:top w:val="single" w:color="999999" w:sz="1"/>
              <w:left w:val="single" w:color="999999" w:sz="1"/>
              <w:bottom w:val="single" w:color="999999" w:sz="1"/>
              <w:right w:val="single" w:color="999999" w:sz="1"/>
            </w:tcBorders>
          </w:tcPr>
          <w:p>
            <w:pPr>
              <w:spacing w:before="50"/>
            </w:pPr>
            <w:r>
              <w:rPr>
                <w:b/>
                <w:bCs/>
              </w:rPr>
              <w:t xml:space="preserve">VaultMesh Technologies</w:t>
            </w:r>
          </w:p>
          <w:p>
            <w:pPr>
              <w:spacing w:before="300"/>
            </w:pPr>
            <w:r>
              <w:t xml:space="preserve">Signature: _______________________</w:t>
            </w:r>
          </w:p>
          <w:p>
            <w:pPr>
              <w:spacing w:before="200"/>
            </w:pPr>
            <w:r>
              <w:t xml:space="preserve">Name: ___________________________</w:t>
            </w:r>
          </w:p>
          <w:p>
            <w:pPr>
              <w:spacing w:before="200"/>
            </w:pPr>
            <w:r>
              <w:t xml:space="preserve">Title: ___________________________</w:t>
            </w:r>
          </w:p>
          <w:p>
            <w:pPr>
              <w:spacing w:before="200" w:after="100"/>
            </w:pPr>
            <w:r>
              <w:t xml:space="preserve">Date: ___________________________</w:t>
            </w:r>
          </w:p>
        </w:tc>
        <w:tc>
          <w:tcPr>
            <w:tcW w:type="dxa" w:w="4680"/>
            <w:tcBorders>
              <w:top w:val="single" w:color="999999" w:sz="1"/>
              <w:left w:val="single" w:color="999999" w:sz="1"/>
              <w:bottom w:val="single" w:color="999999" w:sz="1"/>
              <w:right w:val="single" w:color="999999" w:sz="1"/>
            </w:tcBorders>
          </w:tcPr>
          <w:p>
            <w:pPr>
              <w:spacing w:before="50"/>
            </w:pPr>
            <w:r>
              <w:rPr>
                <w:b/>
                <w:bCs/>
              </w:rPr>
              <w:t xml:space="preserve">[CLIENT NAME]</w:t>
            </w:r>
          </w:p>
          <w:p>
            <w:pPr>
              <w:spacing w:before="300"/>
            </w:pPr>
            <w:r>
              <w:t xml:space="preserve">Signature: _______________________</w:t>
            </w:r>
          </w:p>
          <w:p>
            <w:pPr>
              <w:spacing w:before="200"/>
            </w:pPr>
            <w:r>
              <w:t xml:space="preserve">Name: ___________________________</w:t>
            </w:r>
          </w:p>
          <w:p>
            <w:pPr>
              <w:spacing w:before="200"/>
            </w:pPr>
            <w:r>
              <w:t xml:space="preserve">Title: ___________________________</w:t>
            </w:r>
          </w:p>
          <w:p>
            <w:pPr>
              <w:spacing w:before="200" w:after="100"/>
            </w:pPr>
            <w:r>
              <w:t xml:space="preserve">Date: ___________________________</w:t>
            </w:r>
          </w:p>
        </w:tc>
      </w:tr>
    </w:tbl>
    <w:p>
      <w:r>
        <w:br w:type="page"/>
      </w:r>
    </w:p>
    <w:p>
      <w:pPr>
        <w:pStyle w:val="Heading1"/>
      </w:pPr>
      <w:r>
        <w:t xml:space="preserve">SCHEDULE A: SERVICE LEVEL AGREEMENT</w:t>
      </w:r>
    </w:p>
    <w:p>
      <w:pPr>
        <w:pStyle w:val="Heading2"/>
      </w:pPr>
      <w:r>
        <w:t xml:space="preserve">A.1 Tier Rubedo Service Components</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rPr>
          <w:tblHeader/>
        </w:trPr>
        <w:tc>
          <w:tcPr>
            <w:tcBorders>
              <w:top w:val="single" w:color="999999" w:sz="1"/>
              <w:left w:val="single" w:color="999999" w:sz="1"/>
              <w:bottom w:val="single" w:color="999999" w:sz="1"/>
              <w:right w:val="single" w:color="999999" w:sz="1"/>
            </w:tcBorders>
            <w:shd w:fill="1A1A1A" w:val="clear"/>
          </w:tcPr>
          <w:p>
            <w:r>
              <w:rPr>
                <w:b/>
                <w:bCs/>
                <w:color w:val="FFFFFF"/>
              </w:rPr>
              <w:t xml:space="preserve">Component</w:t>
            </w:r>
          </w:p>
        </w:tc>
        <w:tc>
          <w:tcPr>
            <w:tcBorders>
              <w:top w:val="single" w:color="999999" w:sz="1"/>
              <w:left w:val="single" w:color="999999" w:sz="1"/>
              <w:bottom w:val="single" w:color="999999" w:sz="1"/>
              <w:right w:val="single" w:color="999999" w:sz="1"/>
            </w:tcBorders>
            <w:shd w:fill="1A1A1A" w:val="clear"/>
          </w:tcPr>
          <w:p>
            <w:r>
              <w:rPr>
                <w:b/>
                <w:bCs/>
                <w:color w:val="FFFFFF"/>
              </w:rPr>
              <w:t xml:space="preserve">Description</w:t>
            </w:r>
          </w:p>
        </w:tc>
      </w:tr>
      <w:tr>
        <w:tc>
          <w:tcPr>
            <w:tcBorders>
              <w:top w:val="single" w:color="999999" w:sz="1"/>
              <w:left w:val="single" w:color="999999" w:sz="1"/>
              <w:bottom w:val="single" w:color="999999" w:sz="1"/>
              <w:right w:val="single" w:color="999999" w:sz="1"/>
            </w:tcBorders>
          </w:tcPr>
          <w:p>
            <w:r>
              <w:rPr>
                <w:b/>
                <w:bCs/>
              </w:rPr>
              <w:t xml:space="preserve">24/7 Monitoring</w:t>
            </w:r>
          </w:p>
        </w:tc>
        <w:tc>
          <w:tcPr>
            <w:tcBorders>
              <w:top w:val="single" w:color="999999" w:sz="1"/>
              <w:left w:val="single" w:color="999999" w:sz="1"/>
              <w:bottom w:val="single" w:color="999999" w:sz="1"/>
              <w:right w:val="single" w:color="999999" w:sz="1"/>
            </w:tcBorders>
          </w:tcPr>
          <w:p>
            <w:r>
              <w:t xml:space="preserve">Continuous surveillance of Client infrastructure through VaultMesh Shield with AI-augmented threat detection</w:t>
            </w:r>
          </w:p>
        </w:tc>
      </w:tr>
      <w:tr>
        <w:tc>
          <w:tcPr>
            <w:tcBorders>
              <w:top w:val="single" w:color="999999" w:sz="1"/>
              <w:left w:val="single" w:color="999999" w:sz="1"/>
              <w:bottom w:val="single" w:color="999999" w:sz="1"/>
              <w:right w:val="single" w:color="999999" w:sz="1"/>
            </w:tcBorders>
          </w:tcPr>
          <w:p>
            <w:r>
              <w:rPr>
                <w:b/>
                <w:bCs/>
              </w:rPr>
              <w:t xml:space="preserve">Proofchain</w:t>
            </w:r>
          </w:p>
        </w:tc>
        <w:tc>
          <w:tcPr>
            <w:tcBorders>
              <w:top w:val="single" w:color="999999" w:sz="1"/>
              <w:left w:val="single" w:color="999999" w:sz="1"/>
              <w:bottom w:val="single" w:color="999999" w:sz="1"/>
              <w:right w:val="single" w:color="999999" w:sz="1"/>
            </w:tcBorders>
          </w:tcPr>
          <w:p>
            <w:r>
              <w:t xml:space="preserve">Cryptographic receipt generation for all significant events with RFC-3161 and blockchain anchoring</w:t>
            </w:r>
          </w:p>
        </w:tc>
      </w:tr>
      <w:tr>
        <w:tc>
          <w:tcPr>
            <w:tcBorders>
              <w:top w:val="single" w:color="999999" w:sz="1"/>
              <w:left w:val="single" w:color="999999" w:sz="1"/>
              <w:bottom w:val="single" w:color="999999" w:sz="1"/>
              <w:right w:val="single" w:color="999999" w:sz="1"/>
            </w:tcBorders>
          </w:tcPr>
          <w:p>
            <w:r>
              <w:rPr>
                <w:b/>
                <w:bCs/>
              </w:rPr>
              <w:t xml:space="preserve">TEM</w:t>
            </w:r>
          </w:p>
        </w:tc>
        <w:tc>
          <w:tcPr>
            <w:tcBorders>
              <w:top w:val="single" w:color="999999" w:sz="1"/>
              <w:left w:val="single" w:color="999999" w:sz="1"/>
              <w:bottom w:val="single" w:color="999999" w:sz="1"/>
              <w:right w:val="single" w:color="999999" w:sz="1"/>
            </w:tcBorders>
          </w:tcPr>
          <w:p>
            <w:r>
              <w:t xml:space="preserve">Automated threat transmutation: pattern extraction, rule generation, defensive hardening</w:t>
            </w:r>
          </w:p>
        </w:tc>
      </w:tr>
      <w:tr>
        <w:tc>
          <w:tcPr>
            <w:tcBorders>
              <w:top w:val="single" w:color="999999" w:sz="1"/>
              <w:left w:val="single" w:color="999999" w:sz="1"/>
              <w:bottom w:val="single" w:color="999999" w:sz="1"/>
              <w:right w:val="single" w:color="999999" w:sz="1"/>
            </w:tcBorders>
          </w:tcPr>
          <w:p>
            <w:r>
              <w:rPr>
                <w:b/>
                <w:bCs/>
              </w:rPr>
              <w:t xml:space="preserve">On-site Presence</w:t>
            </w:r>
          </w:p>
        </w:tc>
        <w:tc>
          <w:tcPr>
            <w:tcBorders>
              <w:top w:val="single" w:color="999999" w:sz="1"/>
              <w:left w:val="single" w:color="999999" w:sz="1"/>
              <w:bottom w:val="single" w:color="999999" w:sz="1"/>
              <w:right w:val="single" w:color="999999" w:sz="1"/>
            </w:tcBorders>
          </w:tcPr>
          <w:p>
            <w:r>
              <w:t xml:space="preserve">8 days/month of dedicated operator presence at Client facilities</w:t>
            </w:r>
          </w:p>
        </w:tc>
      </w:tr>
      <w:tr>
        <w:tc>
          <w:tcPr>
            <w:tcBorders>
              <w:top w:val="single" w:color="999999" w:sz="1"/>
              <w:left w:val="single" w:color="999999" w:sz="1"/>
              <w:bottom w:val="single" w:color="999999" w:sz="1"/>
              <w:right w:val="single" w:color="999999" w:sz="1"/>
            </w:tcBorders>
          </w:tcPr>
          <w:p>
            <w:r>
              <w:rPr>
                <w:b/>
                <w:bCs/>
              </w:rPr>
              <w:t xml:space="preserve">Reporting</w:t>
            </w:r>
          </w:p>
        </w:tc>
        <w:tc>
          <w:tcPr>
            <w:tcBorders>
              <w:top w:val="single" w:color="999999" w:sz="1"/>
              <w:left w:val="single" w:color="999999" w:sz="1"/>
              <w:bottom w:val="single" w:color="999999" w:sz="1"/>
              <w:right w:val="single" w:color="999999" w:sz="1"/>
            </w:tcBorders>
          </w:tcPr>
          <w:p>
            <w:r>
              <w:t xml:space="preserve">Weekly briefings, monthly executive reports, quarterly board assessments</w:t>
            </w:r>
          </w:p>
        </w:tc>
      </w:tr>
      <w:tr>
        <w:tc>
          <w:tcPr>
            <w:tcBorders>
              <w:top w:val="single" w:color="999999" w:sz="1"/>
              <w:left w:val="single" w:color="999999" w:sz="1"/>
              <w:bottom w:val="single" w:color="999999" w:sz="1"/>
              <w:right w:val="single" w:color="999999" w:sz="1"/>
            </w:tcBorders>
          </w:tcPr>
          <w:p>
            <w:r>
              <w:rPr>
                <w:b/>
                <w:bCs/>
              </w:rPr>
              <w:t xml:space="preserve">Custom Development</w:t>
            </w:r>
          </w:p>
        </w:tc>
        <w:tc>
          <w:tcPr>
            <w:tcBorders>
              <w:top w:val="single" w:color="999999" w:sz="1"/>
              <w:left w:val="single" w:color="999999" w:sz="1"/>
              <w:bottom w:val="single" w:color="999999" w:sz="1"/>
              <w:right w:val="single" w:color="999999" w:sz="1"/>
            </w:tcBorders>
          </w:tcPr>
          <w:p>
            <w:r>
              <w:t xml:space="preserve">200 hours/year of custom integration development included</w:t>
            </w:r>
          </w:p>
        </w:tc>
      </w:tr>
      <w:tr>
        <w:tc>
          <w:tcPr>
            <w:tcBorders>
              <w:top w:val="single" w:color="999999" w:sz="1"/>
              <w:left w:val="single" w:color="999999" w:sz="1"/>
              <w:bottom w:val="single" w:color="999999" w:sz="1"/>
              <w:right w:val="single" w:color="999999" w:sz="1"/>
            </w:tcBorders>
          </w:tcPr>
          <w:p>
            <w:r>
              <w:rPr>
                <w:b/>
                <w:bCs/>
              </w:rPr>
              <w:t xml:space="preserve">Compliance</w:t>
            </w:r>
          </w:p>
        </w:tc>
        <w:tc>
          <w:tcPr>
            <w:tcBorders>
              <w:top w:val="single" w:color="999999" w:sz="1"/>
              <w:left w:val="single" w:color="999999" w:sz="1"/>
              <w:bottom w:val="single" w:color="999999" w:sz="1"/>
              <w:right w:val="single" w:color="999999" w:sz="1"/>
            </w:tcBorders>
          </w:tcPr>
          <w:p>
            <w:r>
              <w:t xml:space="preserve">Full NIS2, GDPR, DORA compliance documentation and audit support</w:t>
            </w:r>
          </w:p>
        </w:tc>
      </w:tr>
    </w:tbl>
    <w:p>
      <w:pPr>
        <w:pStyle w:val="Heading2"/>
      </w:pPr>
      <w:r>
        <w:t xml:space="preserve">A.2 Response Time SLAs</w:t>
      </w:r>
    </w:p>
    <w:tbl>
      <w:tblPr>
        <w:tblW w:type="auto" w:w="100"/>
        <w:tblBorders>
          <w:top w:val="single" w:color="auto" w:sz="4"/>
          <w:left w:val="single" w:color="auto" w:sz="4"/>
          <w:bottom w:val="single" w:color="auto" w:sz="4"/>
          <w:right w:val="single" w:color="auto" w:sz="4"/>
          <w:insideH w:val="single" w:color="auto" w:sz="4"/>
          <w:insideV w:val="single" w:color="auto" w:sz="4"/>
        </w:tblBorders>
      </w:tblPr>
      <w:tblGrid>
        <w:gridCol w:w="2000"/>
        <w:gridCol w:w="2500"/>
        <w:gridCol w:w="2500"/>
        <w:gridCol w:w="2360"/>
      </w:tblGrid>
      <w:tr>
        <w:trPr>
          <w:tblHeader/>
        </w:trPr>
        <w:tc>
          <w:tcPr>
            <w:tcBorders>
              <w:top w:val="single" w:color="999999" w:sz="1"/>
              <w:left w:val="single" w:color="999999" w:sz="1"/>
              <w:bottom w:val="single" w:color="999999" w:sz="1"/>
              <w:right w:val="single" w:color="999999" w:sz="1"/>
            </w:tcBorders>
            <w:shd w:fill="1A1A1A" w:val="clear"/>
          </w:tcPr>
          <w:p>
            <w:r>
              <w:rPr>
                <w:b/>
                <w:bCs/>
                <w:color w:val="FFFFFF"/>
              </w:rPr>
              <w:t xml:space="preserve">Severity</w:t>
            </w:r>
          </w:p>
        </w:tc>
        <w:tc>
          <w:tcPr>
            <w:tcBorders>
              <w:top w:val="single" w:color="999999" w:sz="1"/>
              <w:left w:val="single" w:color="999999" w:sz="1"/>
              <w:bottom w:val="single" w:color="999999" w:sz="1"/>
              <w:right w:val="single" w:color="999999" w:sz="1"/>
            </w:tcBorders>
            <w:shd w:fill="1A1A1A" w:val="clear"/>
          </w:tcPr>
          <w:p>
            <w:r>
              <w:rPr>
                <w:b/>
                <w:bCs/>
                <w:color w:val="FFFFFF"/>
              </w:rPr>
              <w:t xml:space="preserve">Acknowledge</w:t>
            </w:r>
          </w:p>
        </w:tc>
        <w:tc>
          <w:tcPr>
            <w:tcBorders>
              <w:top w:val="single" w:color="999999" w:sz="1"/>
              <w:left w:val="single" w:color="999999" w:sz="1"/>
              <w:bottom w:val="single" w:color="999999" w:sz="1"/>
              <w:right w:val="single" w:color="999999" w:sz="1"/>
            </w:tcBorders>
            <w:shd w:fill="1A1A1A" w:val="clear"/>
          </w:tcPr>
          <w:p>
            <w:r>
              <w:rPr>
                <w:b/>
                <w:bCs/>
                <w:color w:val="FFFFFF"/>
              </w:rPr>
              <w:t xml:space="preserve">Contain</w:t>
            </w:r>
          </w:p>
        </w:tc>
        <w:tc>
          <w:tcPr>
            <w:tcBorders>
              <w:top w:val="single" w:color="999999" w:sz="1"/>
              <w:left w:val="single" w:color="999999" w:sz="1"/>
              <w:bottom w:val="single" w:color="999999" w:sz="1"/>
              <w:right w:val="single" w:color="999999" w:sz="1"/>
            </w:tcBorders>
            <w:shd w:fill="1A1A1A" w:val="clear"/>
          </w:tcPr>
          <w:p>
            <w:r>
              <w:rPr>
                <w:b/>
                <w:bCs/>
                <w:color w:val="FFFFFF"/>
              </w:rPr>
              <w:t xml:space="preserve">Resolve</w:t>
            </w:r>
          </w:p>
        </w:tc>
      </w:tr>
      <w:tr>
        <w:tc>
          <w:tcPr>
            <w:tcBorders>
              <w:top w:val="single" w:color="999999" w:sz="1"/>
              <w:left w:val="single" w:color="999999" w:sz="1"/>
              <w:bottom w:val="single" w:color="999999" w:sz="1"/>
              <w:right w:val="single" w:color="999999" w:sz="1"/>
            </w:tcBorders>
            <w:shd w:fill="FFEBEE" w:val="clear"/>
          </w:tcPr>
          <w:p>
            <w:r>
              <w:rPr>
                <w:b/>
                <w:bCs/>
              </w:rPr>
              <w:t xml:space="preserve">CRITICAL</w:t>
            </w:r>
          </w:p>
        </w:tc>
        <w:tc>
          <w:tcPr>
            <w:tcBorders>
              <w:top w:val="single" w:color="999999" w:sz="1"/>
              <w:left w:val="single" w:color="999999" w:sz="1"/>
              <w:bottom w:val="single" w:color="999999" w:sz="1"/>
              <w:right w:val="single" w:color="999999" w:sz="1"/>
            </w:tcBorders>
          </w:tcPr>
          <w:p>
            <w:r>
              <w:t xml:space="preserve">15 minutes</w:t>
            </w:r>
          </w:p>
        </w:tc>
        <w:tc>
          <w:tcPr>
            <w:tcBorders>
              <w:top w:val="single" w:color="999999" w:sz="1"/>
              <w:left w:val="single" w:color="999999" w:sz="1"/>
              <w:bottom w:val="single" w:color="999999" w:sz="1"/>
              <w:right w:val="single" w:color="999999" w:sz="1"/>
            </w:tcBorders>
          </w:tcPr>
          <w:p>
            <w:r>
              <w:t xml:space="preserve">2 hours</w:t>
            </w:r>
          </w:p>
        </w:tc>
        <w:tc>
          <w:tcPr>
            <w:tcBorders>
              <w:top w:val="single" w:color="999999" w:sz="1"/>
              <w:left w:val="single" w:color="999999" w:sz="1"/>
              <w:bottom w:val="single" w:color="999999" w:sz="1"/>
              <w:right w:val="single" w:color="999999" w:sz="1"/>
            </w:tcBorders>
          </w:tcPr>
          <w:p>
            <w:r>
              <w:t xml:space="preserve">Best effort</w:t>
            </w:r>
          </w:p>
        </w:tc>
      </w:tr>
      <w:tr>
        <w:tc>
          <w:tcPr>
            <w:tcBorders>
              <w:top w:val="single" w:color="999999" w:sz="1"/>
              <w:left w:val="single" w:color="999999" w:sz="1"/>
              <w:bottom w:val="single" w:color="999999" w:sz="1"/>
              <w:right w:val="single" w:color="999999" w:sz="1"/>
            </w:tcBorders>
            <w:shd w:fill="FFF3E0" w:val="clear"/>
          </w:tcPr>
          <w:p>
            <w:r>
              <w:rPr>
                <w:b/>
                <w:bCs/>
              </w:rPr>
              <w:t xml:space="preserve">HIGH</w:t>
            </w:r>
          </w:p>
        </w:tc>
        <w:tc>
          <w:tcPr>
            <w:tcBorders>
              <w:top w:val="single" w:color="999999" w:sz="1"/>
              <w:left w:val="single" w:color="999999" w:sz="1"/>
              <w:bottom w:val="single" w:color="999999" w:sz="1"/>
              <w:right w:val="single" w:color="999999" w:sz="1"/>
            </w:tcBorders>
          </w:tcPr>
          <w:p>
            <w:r>
              <w:t xml:space="preserve">1 hour</w:t>
            </w:r>
          </w:p>
        </w:tc>
        <w:tc>
          <w:tcPr>
            <w:tcBorders>
              <w:top w:val="single" w:color="999999" w:sz="1"/>
              <w:left w:val="single" w:color="999999" w:sz="1"/>
              <w:bottom w:val="single" w:color="999999" w:sz="1"/>
              <w:right w:val="single" w:color="999999" w:sz="1"/>
            </w:tcBorders>
          </w:tcPr>
          <w:p>
            <w:r>
              <w:t xml:space="preserve">8 hours</w:t>
            </w:r>
          </w:p>
        </w:tc>
        <w:tc>
          <w:tcPr>
            <w:tcBorders>
              <w:top w:val="single" w:color="999999" w:sz="1"/>
              <w:left w:val="single" w:color="999999" w:sz="1"/>
              <w:bottom w:val="single" w:color="999999" w:sz="1"/>
              <w:right w:val="single" w:color="999999" w:sz="1"/>
            </w:tcBorders>
          </w:tcPr>
          <w:p>
            <w:r>
              <w:t xml:space="preserve">24 hours</w:t>
            </w:r>
          </w:p>
        </w:tc>
      </w:tr>
      <w:tr>
        <w:tc>
          <w:tcPr>
            <w:tcBorders>
              <w:top w:val="single" w:color="999999" w:sz="1"/>
              <w:left w:val="single" w:color="999999" w:sz="1"/>
              <w:bottom w:val="single" w:color="999999" w:sz="1"/>
              <w:right w:val="single" w:color="999999" w:sz="1"/>
            </w:tcBorders>
            <w:shd w:fill="FFFDE7" w:val="clear"/>
          </w:tcPr>
          <w:p>
            <w:r>
              <w:rPr>
                <w:b/>
                <w:bCs/>
              </w:rPr>
              <w:t xml:space="preserve">MEDIUM</w:t>
            </w:r>
          </w:p>
        </w:tc>
        <w:tc>
          <w:tcPr>
            <w:tcBorders>
              <w:top w:val="single" w:color="999999" w:sz="1"/>
              <w:left w:val="single" w:color="999999" w:sz="1"/>
              <w:bottom w:val="single" w:color="999999" w:sz="1"/>
              <w:right w:val="single" w:color="999999" w:sz="1"/>
            </w:tcBorders>
          </w:tcPr>
          <w:p>
            <w:r>
              <w:t xml:space="preserve">4 hours</w:t>
            </w:r>
          </w:p>
        </w:tc>
        <w:tc>
          <w:tcPr>
            <w:tcBorders>
              <w:top w:val="single" w:color="999999" w:sz="1"/>
              <w:left w:val="single" w:color="999999" w:sz="1"/>
              <w:bottom w:val="single" w:color="999999" w:sz="1"/>
              <w:right w:val="single" w:color="999999" w:sz="1"/>
            </w:tcBorders>
          </w:tcPr>
          <w:p>
            <w:r>
              <w:t xml:space="preserve">24 hours</w:t>
            </w:r>
          </w:p>
        </w:tc>
        <w:tc>
          <w:tcPr>
            <w:tcBorders>
              <w:top w:val="single" w:color="999999" w:sz="1"/>
              <w:left w:val="single" w:color="999999" w:sz="1"/>
              <w:bottom w:val="single" w:color="999999" w:sz="1"/>
              <w:right w:val="single" w:color="999999" w:sz="1"/>
            </w:tcBorders>
          </w:tcPr>
          <w:p>
            <w:r>
              <w:t xml:space="preserve">72 hours</w:t>
            </w:r>
          </w:p>
        </w:tc>
      </w:tr>
      <w:tr>
        <w:tc>
          <w:tcPr>
            <w:tcBorders>
              <w:top w:val="single" w:color="999999" w:sz="1"/>
              <w:left w:val="single" w:color="999999" w:sz="1"/>
              <w:bottom w:val="single" w:color="999999" w:sz="1"/>
              <w:right w:val="single" w:color="999999" w:sz="1"/>
            </w:tcBorders>
            <w:shd w:fill="E8F5E9" w:val="clear"/>
          </w:tcPr>
          <w:p>
            <w:r>
              <w:rPr>
                <w:b/>
                <w:bCs/>
              </w:rPr>
              <w:t xml:space="preserve">LOW</w:t>
            </w:r>
          </w:p>
        </w:tc>
        <w:tc>
          <w:tcPr>
            <w:tcBorders>
              <w:top w:val="single" w:color="999999" w:sz="1"/>
              <w:left w:val="single" w:color="999999" w:sz="1"/>
              <w:bottom w:val="single" w:color="999999" w:sz="1"/>
              <w:right w:val="single" w:color="999999" w:sz="1"/>
            </w:tcBorders>
          </w:tcPr>
          <w:p>
            <w:r>
              <w:t xml:space="preserve">24 hours</w:t>
            </w:r>
          </w:p>
        </w:tc>
        <w:tc>
          <w:tcPr>
            <w:tcBorders>
              <w:top w:val="single" w:color="999999" w:sz="1"/>
              <w:left w:val="single" w:color="999999" w:sz="1"/>
              <w:bottom w:val="single" w:color="999999" w:sz="1"/>
              <w:right w:val="single" w:color="999999" w:sz="1"/>
            </w:tcBorders>
          </w:tcPr>
          <w:p>
            <w:r>
              <w:t xml:space="preserve">N/A</w:t>
            </w:r>
          </w:p>
        </w:tc>
        <w:tc>
          <w:tcPr>
            <w:tcBorders>
              <w:top w:val="single" w:color="999999" w:sz="1"/>
              <w:left w:val="single" w:color="999999" w:sz="1"/>
              <w:bottom w:val="single" w:color="999999" w:sz="1"/>
              <w:right w:val="single" w:color="999999" w:sz="1"/>
            </w:tcBorders>
          </w:tcPr>
          <w:p>
            <w:r>
              <w:t xml:space="preserve">5 business days</w:t>
            </w:r>
          </w:p>
        </w:tc>
      </w:tr>
    </w:tbl>
    <w:p>
      <w:pPr>
        <w:spacing w:after="400"/>
      </w:pPr>
    </w:p>
    <w:p>
      <w:pPr>
        <w:jc w:val="center"/>
      </w:pPr>
      <w:r>
        <w:rPr>
          <w:i/>
          <w:iCs/>
          <w:color w:val="666666"/>
        </w:rPr>
        <w:t xml:space="preserve">[END OF AGREEMENT]</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8"/>
        <w:szCs w:val="18"/>
      </w:rPr>
      <w:t xml:space="preserve">Page </w:t>
    </w:r>
    <w:r>
      <w:rPr>
        <w:color w:val="999999"/>
        <w:sz w:val="18"/>
        <w:szCs w:val="18"/>
      </w:rPr>
      <w:fldChar w:fldCharType="begin"/>
      <w:instrText xml:space="preserve">PAGE</w:instrText>
      <w:fldChar w:fldCharType="separate"/>
      <w:fldChar w:fldCharType="end"/>
    </w:r>
    <w:r>
      <w:rPr>
        <w:color w:val="999999"/>
        <w:sz w:val="18"/>
        <w:szCs w:val="18"/>
      </w:rPr>
      <w:t xml:space="preserve"> of </w:t>
    </w:r>
    <w:r>
      <w:rPr>
        <w:color w:val="999999"/>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center"/>
    </w:pPr>
    <w:r>
      <w:rPr>
        <w:color w:val="999999"/>
        <w:sz w:val="16"/>
        <w:szCs w:val="16"/>
      </w:rPr>
      <w:t xml:space="preserve">SOVEREIGN INTELLIGENCE OPERATOR SERVICES AGREEMENT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abstractNum>
  <w:abstractNum w:abstractNumId="3" w15:restartNumberingAfterBreak="0">
    <w:multiLevelType w:val="hybridMultilevel"/>
    <w:lvl w:ilvl="0" w15:tentative="1">
      <w:start w:val="1"/>
      <w:numFmt w:val="lowerLetter"/>
      <w:lvlText w:val="(%1)"/>
      <w:lvlJc w:val="left"/>
      <w:pPr>
        <w:ind w:left="10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Title">
    <w:name w:val="Title"/>
    <w:basedOn w:val="Normal"/>
    <w:pPr>
      <w:spacing w:before="0" w:after="200"/>
      <w:jc w:val="center"/>
    </w:pPr>
    <w:rPr>
      <w:rFonts w:ascii="Arial" w:cs="Arial" w:eastAsia="Arial" w:hAnsi="Arial"/>
      <w:b/>
      <w:bCs/>
      <w:color w:val="000000"/>
      <w:sz w:val="48"/>
      <w:szCs w:val="48"/>
    </w:rPr>
  </w:style>
  <w:style w:type="paragraph" w:styleId="Heading1">
    <w:name w:val="Heading 1"/>
    <w:basedOn w:val="Normal"/>
    <w:next w:val="Normal"/>
    <w:qFormat/>
    <w:pPr>
      <w:spacing w:before="400" w:after="200"/>
      <w:outlineLvl w:val="0"/>
    </w:pPr>
    <w:rPr>
      <w:rFonts w:ascii="Arial" w:cs="Arial" w:eastAsia="Arial" w:hAnsi="Arial"/>
      <w:b/>
      <w:bCs/>
      <w:color w:val="000000"/>
      <w:sz w:val="28"/>
      <w:szCs w:val="28"/>
    </w:rPr>
  </w:style>
  <w:style w:type="paragraph" w:styleId="Heading2">
    <w:name w:val="Heading 2"/>
    <w:basedOn w:val="Normal"/>
    <w:next w:val="Normal"/>
    <w:qFormat/>
    <w:pPr>
      <w:spacing w:before="300" w:after="150"/>
      <w:outlineLvl w:val="1"/>
    </w:pPr>
    <w:rPr>
      <w:rFonts w:ascii="Arial" w:cs="Arial" w:eastAsia="Arial" w:hAnsi="Arial"/>
      <w:b/>
      <w:bCs/>
      <w:color w:val="333333"/>
      <w:sz w:val="24"/>
      <w:szCs w:val="24"/>
    </w:rPr>
  </w:style>
  <w:style w:type="paragraph" w:styleId="Legal">
    <w:name w:val="Legal"/>
    <w:basedOn w:val="Normal"/>
    <w:pPr>
      <w:spacing w:after="150"/>
    </w:pPr>
    <w:rPr>
      <w:rFonts w:ascii="Arial" w:cs="Arial" w:eastAsia="Arial" w:hAnsi="Arial"/>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2025-12-08T19:30:45.969Z</dcterms:created>
  <dcterms:modified xsi:type="dcterms:W3CDTF">2025-12-08T19:30:45.970Z</dcterms:modified>
</cp:coreProperties>
</file>

<file path=docProps/custom.xml><?xml version="1.0" encoding="utf-8"?>
<Properties xmlns="http://schemas.openxmlformats.org/officeDocument/2006/custom-properties" xmlns:vt="http://schemas.openxmlformats.org/officeDocument/2006/docPropsVTypes"/>
</file>