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00AA66"/>
          <w:sz w:val="28"/>
          <w:szCs w:val="28"/>
        </w:rPr>
        <w:t xml:space="preserve">VAULTMESH TECHNOLOGIES</w:t>
      </w:r>
    </w:p>
    <w:p>
      <w:pPr>
        <w:spacing w:after="400"/>
      </w:pPr>
    </w:p>
    <w:p>
      <w:pPr>
        <w:pStyle w:val="Title"/>
      </w:pPr>
      <w:r>
        <w:t xml:space="preserve">SOVEREIGN</w:t>
      </w:r>
    </w:p>
    <w:p>
      <w:pPr>
        <w:pStyle w:val="Title"/>
      </w:pPr>
      <w:r>
        <w:t xml:space="preserve">INTELLIGENCE</w:t>
      </w:r>
    </w:p>
    <w:p>
      <w:pPr>
        <w:pStyle w:val="Title"/>
      </w:pPr>
      <w:r>
        <w:t xml:space="preserve">OPERATOR</w:t>
      </w:r>
    </w:p>
    <w:p>
      <w:pPr>
        <w:pStyle w:val="Subtitle"/>
      </w:pPr>
      <w:r>
        <w:t xml:space="preserve">AI-Augmented Security &amp; Infrastructure Command</w:t>
      </w:r>
    </w:p>
    <w:p>
      <w:pPr>
        <w:spacing w:after="1000"/>
      </w:pPr>
    </w:p>
    <w:p>
      <w:pPr>
        <w:jc w:val="center"/>
      </w:pPr>
      <w:r>
        <w:rPr>
          <w:color w:val="666666"/>
          <w:sz w:val="24"/>
          <w:szCs w:val="24"/>
        </w:rPr>
        <w:t xml:space="preserve">SERVICE CAPABILITIES OVERVIEW</w:t>
      </w:r>
    </w:p>
    <w:p>
      <w:pPr>
        <w:spacing w:after="200"/>
      </w:pPr>
    </w:p>
    <w:p>
      <w:pPr>
        <w:jc w:val="center"/>
      </w:pPr>
      <w:r>
        <w:rPr>
          <w:b/>
          <w:bCs/>
          <w:color w:val="D4AA00"/>
          <w:sz w:val="32"/>
          <w:szCs w:val="32"/>
        </w:rPr>
        <w:t xml:space="preserve">TIER RUBEDO</w:t>
      </w:r>
    </w:p>
    <w:p>
      <w:pPr>
        <w:spacing w:after="1500"/>
      </w:pPr>
    </w:p>
    <w:p>
      <w:pPr>
        <w:jc w:val="center"/>
      </w:pPr>
      <w:r>
        <w:rPr>
          <w:color w:val="999999"/>
          <w:sz w:val="20"/>
          <w:szCs w:val="20"/>
        </w:rPr>
        <w:t xml:space="preserve">Dublin, Ireland</w:t>
      </w:r>
      <w:r>
        <w:rPr>
          <w:color w:val="999999"/>
          <w:sz w:val="20"/>
          <w:szCs w:val="20"/>
        </w:rPr>
        <w:t xml:space="preserve">  |  </w:t>
      </w:r>
      <w:r>
        <w:rPr>
          <w:color w:val="999999"/>
          <w:sz w:val="20"/>
          <w:szCs w:val="20"/>
        </w:rPr>
        <w:t xml:space="preserve">2025</w:t>
      </w:r>
    </w:p>
    <w:p>
      <w:r>
        <w:br w:type="page"/>
      </w:r>
    </w:p>
    <w:p>
      <w:pPr>
        <w:pStyle w:val="Heading1"/>
      </w:pPr>
      <w:r>
        <w:t xml:space="preserve">Executive Summary</w:t>
      </w:r>
    </w:p>
    <w:p>
      <w:pPr>
        <w:spacing w:after="200"/>
      </w:pPr>
      <w:r>
        <w:rPr>
          <w:sz w:val="22"/>
          <w:szCs w:val="22"/>
        </w:rPr>
        <w:t xml:space="preserve">Organizations face an unprecedented convergence of threats: sophisticated cyber attacks, AI-driven adversaries, regulatory complexity, and the fundamental challenge of maintaining digital sovereignty in an interconnected world.</w:t>
      </w:r>
    </w:p>
    <w:p>
      <w:pPr>
        <w:spacing w:after="200"/>
      </w:pPr>
      <w:r>
        <w:rPr>
          <w:sz w:val="22"/>
          <w:szCs w:val="22"/>
        </w:rPr>
        <w:t xml:space="preserve">Traditional security approaches—point solutions, reactive monitoring, fragmented tooling—are structurally incapable of addressing these challenges. What's needed is not more tools, but a new class of capability: an intelligent operator that combines real-time surveillance, predictive threat analysis, cryptographic proof systems, and autonomous response.</w:t>
      </w:r>
    </w:p>
    <w:p>
      <w:pPr>
        <w:spacing w:after="300"/>
      </w:pPr>
      <w:r>
        <w:rPr>
          <w:b/>
          <w:bCs/>
          <w:sz w:val="22"/>
          <w:szCs w:val="22"/>
        </w:rPr>
        <w:t xml:space="preserve">VaultMesh Technologies offers the Sovereign Intelligence Operator (SIO)—a human-AI hybrid command system that provides 24/7 intelligent oversight of your entire digital infrastructure, with cryptographically anchored proof of every action, decision, and event.</w:t>
      </w:r>
    </w:p>
    <w:p>
      <w:pPr>
        <w:pStyle w:val="Heading2"/>
      </w:pPr>
      <w:r>
        <w:t xml:space="preserve">Key Value Propositions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Risk Elimination: </w:t>
      </w:r>
      <w:r>
        <w:t xml:space="preserve">Continuous threat detection and autonomous transmutation of attacks into defensive improvements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Cryptographic Assurance: </w:t>
      </w:r>
      <w:r>
        <w:t xml:space="preserve">Every event generates a tamper-proof receipt anchored to blockchain and RFC-3161 timestamps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Regulatory Compliance: </w:t>
      </w:r>
      <w:r>
        <w:t xml:space="preserve">Built-in support for NIS2, GDPR, DORA, and emerging AI governance frameworks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Institutional Memory: </w:t>
      </w:r>
      <w:r>
        <w:t xml:space="preserve">Complete audit trail designed for civilizational timescales—archaeological computing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Sovereign Control: </w:t>
      </w:r>
      <w:r>
        <w:t xml:space="preserve">Full data sovereignty with zero external dependencies on third-party cloud providers</w:t>
      </w:r>
    </w:p>
    <w:p>
      <w:pPr>
        <w:pStyle w:val="Quote"/>
        <w:spacing w:before="400"/>
      </w:pPr>
      <w:r>
        <w:t xml:space="preserve">"A single operator + an AI command system that monitors your entire digital surface, provides attack predictions, verifies compliance, generates cryptographic evidence, and responds to threats in real time."</w:t>
      </w:r>
    </w:p>
    <w:p>
      <w:r>
        <w:br w:type="page"/>
      </w:r>
    </w:p>
    <w:p>
      <w:pPr>
        <w:pStyle w:val="Heading1"/>
      </w:pPr>
      <w:r>
        <w:t xml:space="preserve">The Problem Space</w:t>
      </w:r>
    </w:p>
    <w:p>
      <w:pPr>
        <w:pStyle w:val="Heading2"/>
      </w:pPr>
      <w:r>
        <w:t xml:space="preserve">The Security Paradox</w:t>
      </w:r>
    </w:p>
    <w:p>
      <w:pPr>
        <w:spacing w:after="200"/>
      </w:pPr>
      <w:r>
        <w:t xml:space="preserve">Modern organizations spend more on security than ever before, yet suffer increasingly sophisticated breaches. This paradox emerges from a fundamental mismatch: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rPr>
          <w:tblHeader/>
        </w:trP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1A1A1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TRADITIONAL APPROACH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00AA66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WHAT'S ACTUALLY NEEDED</w:t>
            </w:r>
          </w:p>
        </w:tc>
      </w:tr>
      <w:t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Point solutions for specific threats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Unified situational awareness</w:t>
            </w:r>
          </w:p>
        </w:tc>
      </w:tr>
      <w:t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Reactive incident response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Predictive threat intelligence</w:t>
            </w:r>
          </w:p>
        </w:tc>
      </w:tr>
      <w:t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Manual compliance documentation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Automatic cryptographic proof</w:t>
            </w:r>
          </w:p>
        </w:tc>
      </w:tr>
      <w:t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Team of specialists (expensive, scarce)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AI-augmented operator (scalable)</w:t>
            </w:r>
          </w:p>
        </w:tc>
      </w:tr>
      <w:tr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Logs that get deleted or lost</w:t>
            </w:r>
          </w:p>
        </w:tc>
        <w:tc>
          <w:tcPr>
            <w:tcW w:type="dxa" w:w="468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Immutable ledger with blockchain anchor</w:t>
            </w:r>
          </w:p>
        </w:tc>
      </w:tr>
    </w:tbl>
    <w:p>
      <w:pPr>
        <w:pStyle w:val="Heading2"/>
      </w:pPr>
      <w:r>
        <w:t xml:space="preserve">Critical Gaps in Current Solutions</w:t>
      </w:r>
    </w:p>
    <w:p>
      <w:pPr>
        <w:pStyle w:val="ListParagraph"/>
        <w:numPr>
          <w:ilvl w:val="0"/>
          <w:numId w:val="3"/>
        </w:numPr>
        <w:spacing w:after="100"/>
      </w:pPr>
      <w:r>
        <w:rPr>
          <w:b/>
          <w:bCs/>
        </w:rPr>
        <w:t xml:space="preserve">No Institutional Memory: </w:t>
      </w:r>
      <w:r>
        <w:t xml:space="preserve">Security events are logged but not integrated into organizational learning</w:t>
      </w:r>
    </w:p>
    <w:p>
      <w:pPr>
        <w:pStyle w:val="ListParagraph"/>
        <w:numPr>
          <w:ilvl w:val="0"/>
          <w:numId w:val="3"/>
        </w:numPr>
        <w:spacing w:after="100"/>
      </w:pPr>
      <w:r>
        <w:rPr>
          <w:b/>
          <w:bCs/>
        </w:rPr>
        <w:t xml:space="preserve">Compliance Theater: </w:t>
      </w:r>
      <w:r>
        <w:t xml:space="preserve">Documentation exists for auditors, not for actual security improvement</w:t>
      </w:r>
    </w:p>
    <w:p>
      <w:pPr>
        <w:pStyle w:val="ListParagraph"/>
        <w:numPr>
          <w:ilvl w:val="0"/>
          <w:numId w:val="3"/>
        </w:numPr>
        <w:spacing w:after="100"/>
      </w:pPr>
      <w:r>
        <w:rPr>
          <w:b/>
          <w:bCs/>
        </w:rPr>
        <w:t xml:space="preserve">Talent Bottleneck: </w:t>
      </w:r>
      <w:r>
        <w:t xml:space="preserve">World-class security requires world-class experts—who don't exist in sufficient numbers</w:t>
      </w:r>
    </w:p>
    <w:p>
      <w:pPr>
        <w:pStyle w:val="ListParagraph"/>
        <w:numPr>
          <w:ilvl w:val="0"/>
          <w:numId w:val="3"/>
        </w:numPr>
        <w:spacing w:after="100"/>
      </w:pPr>
      <w:r>
        <w:rPr>
          <w:b/>
          <w:bCs/>
        </w:rPr>
        <w:t xml:space="preserve">Tool Sprawl: </w:t>
      </w:r>
      <w:r>
        <w:t xml:space="preserve">Average enterprise runs 45+ security tools with minimal integration</w:t>
      </w:r>
    </w:p>
    <w:p>
      <w:pPr>
        <w:pStyle w:val="ListParagraph"/>
        <w:numPr>
          <w:ilvl w:val="0"/>
          <w:numId w:val="3"/>
        </w:numPr>
        <w:spacing w:after="100"/>
      </w:pPr>
      <w:r>
        <w:rPr>
          <w:b/>
          <w:bCs/>
        </w:rPr>
        <w:t xml:space="preserve">Vendor Lock-in: </w:t>
      </w:r>
      <w:r>
        <w:t xml:space="preserve">Cloud dependencies create sovereignty risks and single points of failure</w:t>
      </w:r>
    </w:p>
    <w:p>
      <w:r>
        <w:br w:type="page"/>
      </w:r>
    </w:p>
    <w:p>
      <w:pPr>
        <w:pStyle w:val="Heading1"/>
      </w:pPr>
      <w:r>
        <w:t xml:space="preserve">The Solution: Sovereign Intelligence Operator</w:t>
      </w:r>
    </w:p>
    <w:p>
      <w:pPr>
        <w:spacing w:after="300"/>
      </w:pPr>
      <w:r>
        <w:t xml:space="preserve">The Sovereign Intelligence Operator represents a paradigm shift: instead of buying tools, you engage a capability. Instead of hiring a team, you access an integrated human-AI system purpose-built for your organization's security and sovereignty needs.</w:t>
      </w:r>
    </w:p>
    <w:p>
      <w:pPr>
        <w:pStyle w:val="Heading2"/>
      </w:pPr>
      <w:r>
        <w:t xml:space="preserve">Core Architecture</w:t>
      </w:r>
    </w:p>
    <w:p>
      <w:pPr>
        <w:spacing w:after="200"/>
      </w:pPr>
      <w:r>
        <w:rPr>
          <w:b/>
          <w:bCs/>
        </w:rPr>
        <w:t xml:space="preserve">VaultMesh Command Center: </w:t>
      </w:r>
      <w:r>
        <w:t xml:space="preserve">Real-time dashboard providing unified visibility across all digital assets, with natural language interface for querying system state and issuing commands.</w:t>
      </w:r>
    </w:p>
    <w:p>
      <w:pPr>
        <w:spacing w:after="200"/>
      </w:pPr>
      <w:r>
        <w:rPr>
          <w:b/>
          <w:bCs/>
        </w:rPr>
        <w:t xml:space="preserve">Proofchain: </w:t>
      </w:r>
      <w:r>
        <w:t xml:space="preserve">Cryptographic receipt system generating BLAKE2b hashes for every significant event, with Merkle tree aggregation and dual-anchor to RFC-3161 timestamp authorities and Ethereum/Bitcoin blockchains.</w:t>
      </w:r>
    </w:p>
    <w:p>
      <w:pPr>
        <w:spacing w:after="200"/>
      </w:pPr>
      <w:r>
        <w:rPr>
          <w:b/>
          <w:bCs/>
        </w:rPr>
        <w:t xml:space="preserve">Shield: </w:t>
      </w:r>
      <w:r>
        <w:t xml:space="preserve">Continuous vulnerability scanning with severity classification, asset mapping, and automated alerting. Integrates with TEM for threat transmutation.</w:t>
      </w:r>
    </w:p>
    <w:p>
      <w:pPr>
        <w:spacing w:after="200"/>
      </w:pPr>
      <w:r>
        <w:rPr>
          <w:b/>
          <w:bCs/>
        </w:rPr>
        <w:t xml:space="preserve">TEM (Threat Transmutation Engine): </w:t>
      </w:r>
      <w:r>
        <w:t xml:space="preserve">AI-driven system that converts every detected threat into defensive rules, patterns, and organizational learning. "Every attack becomes a lesson."</w:t>
      </w:r>
    </w:p>
    <w:p>
      <w:pPr>
        <w:spacing w:after="200"/>
      </w:pPr>
      <w:r>
        <w:rPr>
          <w:b/>
          <w:bCs/>
        </w:rPr>
        <w:t xml:space="preserve">Braid: </w:t>
      </w:r>
      <w:r>
        <w:t xml:space="preserve">Distributed trust system enabling verification of external proofs from partner organizations, creating a mesh of cryptographic assurance.</w:t>
      </w:r>
    </w:p>
    <w:p>
      <w:pPr>
        <w:spacing w:after="200"/>
      </w:pPr>
      <w:r>
        <w:rPr>
          <w:b/>
          <w:bCs/>
        </w:rPr>
        <w:t xml:space="preserve">Lawchain: </w:t>
      </w:r>
      <w:r>
        <w:t xml:space="preserve">Governance layer ensuring all system actions comply with constitutional rules and regulatory requirements, with automatic audit generation.</w:t>
      </w:r>
    </w:p>
    <w:p>
      <w:pPr>
        <w:pStyle w:val="Heading2"/>
      </w:pPr>
      <w:r>
        <w:t xml:space="preserve">Operational Model</w:t>
      </w:r>
    </w:p>
    <w:p>
      <w:pPr>
        <w:spacing w:after="200"/>
      </w:pPr>
      <w:r>
        <w:t xml:space="preserve">The SIO operates as a dedicated extension of your organization: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24/7 monitoring with AI-augmented threat detection and response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Weekly strategic briefings and monthly comprehensive reports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Direct communication channel for incident escalation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Quarterly architecture reviews and roadmap planning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On-site presence as required for critical deployments</w:t>
      </w:r>
    </w:p>
    <w:p>
      <w:r>
        <w:br w:type="page"/>
      </w:r>
    </w:p>
    <w:p>
      <w:pPr>
        <w:pStyle w:val="Heading1"/>
      </w:pPr>
      <w:r>
        <w:t xml:space="preserve">Capability Stack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rPr>
          <w:tblHeader/>
        </w:trP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1A1A1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LAYER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1A1A1A" w:val="clear"/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CAPABILITY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E8F5E9" w:val="clear"/>
          </w:tcPr>
          <w:p>
            <w:r>
              <w:rPr>
                <w:b/>
                <w:bCs/>
              </w:rPr>
              <w:t xml:space="preserve">Proofchain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Cryptographic memory: Merkle trees, BLAKE2b hashing, RFC-3161 + blockchain anchoring, tamper-evident receipts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E3F2FD" w:val="clear"/>
          </w:tcPr>
          <w:p>
            <w:r>
              <w:rPr>
                <w:b/>
                <w:bCs/>
              </w:rPr>
              <w:t xml:space="preserve">Shield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Real-time surveillance: Continuous scanning, severity classification, asset mapping, automated alerting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FFF3E0" w:val="clear"/>
          </w:tcPr>
          <w:p>
            <w:r>
              <w:rPr>
                <w:b/>
                <w:bCs/>
              </w:rPr>
              <w:t xml:space="preserve">TEM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Threat Transmutation: Pattern extraction, rule generation, Sigma/YARA output, automated defensive hardening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F3E5F5" w:val="clear"/>
          </w:tcPr>
          <w:p>
            <w:r>
              <w:rPr>
                <w:b/>
                <w:bCs/>
              </w:rPr>
              <w:t xml:space="preserve">Mesh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Zero-trust infrastructure: Tailscale mesh, mTLS, capability-based access, distributed orchestration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FFEBEE" w:val="clear"/>
          </w:tcPr>
          <w:p>
            <w:r>
              <w:rPr>
                <w:b/>
                <w:bCs/>
              </w:rPr>
              <w:t xml:space="preserve">Braid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Distributed trust: Foreign proof verification, partner attestation, cross-organizational audit trails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E8EAF6" w:val="clear"/>
          </w:tcPr>
          <w:p>
            <w:r>
              <w:rPr>
                <w:b/>
                <w:bCs/>
              </w:rPr>
              <w:t xml:space="preserve">Lawchain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Governance: Constitutional rules, regulatory mapping (NIS2, GDPR, DORA), automatic compliance reporting</w:t>
            </w:r>
          </w:p>
        </w:tc>
      </w:tr>
      <w:tr>
        <w:tc>
          <w:tcPr>
            <w:tcW w:type="dxa" w:w="280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FBE9E7" w:val="clear"/>
          </w:tcPr>
          <w:p>
            <w:r>
              <w:rPr>
                <w:b/>
                <w:bCs/>
              </w:rPr>
              <w:t xml:space="preserve">Command Center</w:t>
            </w:r>
          </w:p>
        </w:tc>
        <w:tc>
          <w:tcPr>
            <w:tcW w:type="dxa" w:w="65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t xml:space="preserve">AI Interface: Natural language queries, real-time dashboards, incident management, strategic reporting</w:t>
            </w:r>
          </w:p>
        </w:tc>
      </w:tr>
    </w:tbl>
    <w:p>
      <w:pPr>
        <w:pStyle w:val="Heading2"/>
      </w:pPr>
      <w:r>
        <w:t xml:space="preserve">Technical Specifications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Deployment: </w:t>
      </w:r>
      <w:r>
        <w:t xml:space="preserve">Self-hosted (on-premise or private cloud), zero external dependencies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Stack: </w:t>
      </w:r>
      <w:r>
        <w:t xml:space="preserve">Rust core services, Python orchestration, TypeScript/React UI, Kubernetes orchestration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Crypto: </w:t>
      </w:r>
      <w:r>
        <w:t xml:space="preserve">BLAKE2b hashing, Ed25519 signing, Merkle trees, PQ-ready architecture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b/>
          <w:bCs/>
        </w:rPr>
        <w:t xml:space="preserve">Integrations: </w:t>
      </w:r>
      <w:r>
        <w:t xml:space="preserve">OpenAPI/REST, WebSocket, MCP protocol, Prometheus/Grafana metrics</w:t>
      </w:r>
    </w:p>
    <w:p>
      <w:r>
        <w:br w:type="page"/>
      </w:r>
    </w:p>
    <w:p>
      <w:pPr>
        <w:pStyle w:val="Heading1"/>
      </w:pPr>
      <w:r>
        <w:t xml:space="preserve">Service Tiers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607D8B" w:val="clear"/>
          </w:tcPr>
          <w:p>
            <w:pPr>
              <w:spacing w:before="100" w:after="10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ALBEDO</w:t>
            </w:r>
          </w:p>
          <w:p>
            <w:pPr>
              <w:jc w:val="center"/>
            </w:pPr>
            <w:r>
              <w:rPr>
                <w:color w:val="FFFFFF"/>
                <w:sz w:val="20"/>
                <w:szCs w:val="20"/>
              </w:rPr>
              <w:t xml:space="preserve">€250,000/year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00AA66" w:val="clear"/>
          </w:tcPr>
          <w:p>
            <w:pPr>
              <w:spacing w:before="100" w:after="10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CITRINITAS</w:t>
            </w:r>
          </w:p>
          <w:p>
            <w:pPr>
              <w:jc w:val="center"/>
            </w:pPr>
            <w:r>
              <w:rPr>
                <w:color w:val="FFFFFF"/>
                <w:sz w:val="20"/>
                <w:szCs w:val="20"/>
              </w:rPr>
              <w:t xml:space="preserve">€500,000/year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D4AA00" w:val="clear"/>
          </w:tcPr>
          <w:p>
            <w:pPr>
              <w:spacing w:before="100" w:after="10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RUBEDO</w:t>
            </w:r>
          </w:p>
          <w:p>
            <w:pPr>
              <w:jc w:val="center"/>
            </w:pPr>
            <w:r>
              <w:rPr>
                <w:color w:val="FFFFFF"/>
                <w:sz w:val="20"/>
                <w:szCs w:val="20"/>
              </w:rPr>
              <w:t xml:space="preserve">€1,000,000/year</w:t>
            </w:r>
          </w:p>
        </w:tc>
      </w:tr>
      <w:tr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pPr>
              <w:spacing w:before="50" w:after="50"/>
            </w:pPr>
            <w:r>
              <w:rPr>
                <w:i/>
                <w:iCs/>
                <w:color w:val="666666"/>
              </w:rPr>
              <w:t xml:space="preserve">Foundation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pPr>
              <w:spacing w:before="50" w:after="50"/>
            </w:pPr>
            <w:r>
              <w:rPr>
                <w:i/>
                <w:iCs/>
                <w:color w:val="666666"/>
              </w:rPr>
              <w:t xml:space="preserve">Enterprise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pPr>
              <w:spacing w:before="50" w:after="50"/>
            </w:pPr>
            <w:r>
              <w:rPr>
                <w:i/>
                <w:iCs/>
                <w:color w:val="666666"/>
              </w:rPr>
              <w:t xml:space="preserve">Sovereign</w:t>
            </w:r>
          </w:p>
        </w:tc>
      </w:tr>
      <w:tr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rPr>
                <w:color w:val="00AA66"/>
              </w:rPr>
              <w:t xml:space="preserve">✓ </w:t>
            </w:r>
            <w:r>
              <w:t xml:space="preserve">Proofchain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Shield monitoring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Monthly reports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8x5 support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Basic TEM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rPr>
                <w:color w:val="00AA66"/>
              </w:rPr>
              <w:t xml:space="preserve">✓ </w:t>
            </w:r>
            <w:r>
              <w:t xml:space="preserve">All Albedo features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Full TEM automation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Weekly briefings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12x5 support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Braid integration</w:t>
            </w:r>
          </w:p>
          <w:p>
            <w:r>
              <w:rPr>
                <w:color w:val="00AA66"/>
              </w:rPr>
              <w:t xml:space="preserve">✓ </w:t>
            </w:r>
            <w:r>
              <w:t xml:space="preserve">Compliance mapping</w:t>
            </w:r>
          </w:p>
        </w:tc>
        <w:tc>
          <w:tcPr>
            <w:tcW w:type="dxa" w:w="312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</w:tcPr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All Citrinitas features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24/7 operator coverage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On-site presence (8d/mo)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Custom integrations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Blockchain anchoring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Incident response SLA</w:t>
            </w:r>
          </w:p>
          <w:p>
            <w:r>
              <w:rPr>
                <w:color w:val="D4AA00"/>
              </w:rPr>
              <w:t xml:space="preserve">✓ </w:t>
            </w:r>
            <w:r>
              <w:rPr>
                <w:b/>
                <w:bCs/>
              </w:rPr>
              <w:t xml:space="preserve">Board reporting</w:t>
            </w:r>
          </w:p>
        </w:tc>
      </w:tr>
    </w:tbl>
    <w:p>
      <w:pPr>
        <w:pStyle w:val="Heading2"/>
      </w:pPr>
      <w:r>
        <w:t xml:space="preserve">Tier Rubedo — Complete Deliverables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24/7 AI-augmented monitoring and threat response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Cryptographic proof generation for all significant events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Automated threat transmutation (TEM) with rule deployment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Weekly strategic briefings + monthly executive reports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8 days/month on-site operator presence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Blockchain anchoring (Ethereum + Bitcoin) for critical proofs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Custom integration development (up to 200 hours/year)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Incident response: 15-minute acknowledgment, 2-hour containment SLA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Quarterly board-ready security reports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Full regulatory compliance documentation (NIS2, GDPR, DORA)</w:t>
      </w:r>
    </w:p>
    <w:p>
      <w:r>
        <w:br w:type="page"/>
      </w:r>
    </w:p>
    <w:p>
      <w:pPr>
        <w:pStyle w:val="Heading1"/>
      </w:pPr>
      <w:r>
        <w:t xml:space="preserve">Target Domains &amp; Use Cases</w:t>
      </w:r>
    </w:p>
    <w:p>
      <w:pPr>
        <w:pStyle w:val="Heading2"/>
      </w:pPr>
      <w:r>
        <w:t xml:space="preserve">1. National Digital Sovereignty Centers</w:t>
      </w:r>
    </w:p>
    <w:p>
      <w:pPr>
        <w:spacing w:after="200"/>
      </w:pPr>
      <w:r>
        <w:t xml:space="preserve">Governments establishing digital infrastructure require proof of independence from foreign cloud providers, complete audit trails for regulatory compliance, and real-time threat intelligence. The SIO provides a turnkey sovereignty layer with cryptographic guarantees.</w:t>
      </w:r>
    </w:p>
    <w:p>
      <w:pPr>
        <w:pStyle w:val="Heading2"/>
      </w:pPr>
      <w:r>
        <w:t xml:space="preserve">2. Sovereign Wealth Funds</w:t>
      </w:r>
    </w:p>
    <w:p>
      <w:pPr>
        <w:spacing w:after="200"/>
      </w:pPr>
      <w:r>
        <w:t xml:space="preserve">High-value asset management demands the highest security standards with complete provenance. The SIO provides immutable records of all access, changes, and decisions—essential for fiduciary responsibility and regulatory reporting.</w:t>
      </w:r>
    </w:p>
    <w:p>
      <w:pPr>
        <w:pStyle w:val="Heading2"/>
      </w:pPr>
      <w:r>
        <w:t xml:space="preserve">3. Critical Infrastructure Operators</w:t>
      </w:r>
    </w:p>
    <w:p>
      <w:pPr>
        <w:spacing w:after="200"/>
      </w:pPr>
      <w:r>
        <w:t xml:space="preserve">Energy, healthcare, and financial institutions face NIS2 compliance requirements and sophisticated threat actors. The SIO provides continuous monitoring, automated compliance documentation, and AI-driven threat response—reducing the burden on internal teams.</w:t>
      </w:r>
    </w:p>
    <w:p>
      <w:pPr>
        <w:pStyle w:val="Heading2"/>
      </w:pPr>
      <w:r>
        <w:t xml:space="preserve">4. Foundation-Owned Enterprises</w:t>
      </w:r>
    </w:p>
    <w:p>
      <w:pPr>
        <w:spacing w:after="200"/>
      </w:pPr>
      <w:r>
        <w:t xml:space="preserve">Long-horizon organizations (foundations, trusts, cooperatives) require systems designed for multi-generational continuity. The SIO's archaeological computing approach ensures records remain comprehensible and verifiable across civilizational timescales.</w:t>
      </w:r>
    </w:p>
    <w:p>
      <w:pPr>
        <w:pStyle w:val="Heading2"/>
      </w:pPr>
      <w:r>
        <w:t xml:space="preserve">5. AI Governance Institutes</w:t>
      </w:r>
    </w:p>
    <w:p>
      <w:pPr>
        <w:spacing w:after="200"/>
      </w:pPr>
      <w:r>
        <w:t xml:space="preserve">Organizations developing AI policy need practical infrastructure for AI safety monitoring, alignment verification, and governance enforcement. The SIO's Lawchain provides a working model for constitutional AI governance.</w:t>
      </w:r>
    </w:p>
    <w:p>
      <w:pPr>
        <w:pStyle w:val="Heading2"/>
      </w:pPr>
      <w:r>
        <w:t xml:space="preserve">6. High-Net-Worth Digital Security</w:t>
      </w:r>
    </w:p>
    <w:p>
      <w:pPr>
        <w:spacing w:after="200"/>
      </w:pPr>
      <w:r>
        <w:t xml:space="preserve">Ultra-high-net-worth individuals and family offices face targeted attacks requiring dedicated security operators. The SIO provides executive-level protection with complete privacy—no external vendors, no cloud dependencies, no data leaving your control.</w:t>
      </w:r>
    </w:p>
    <w:p>
      <w:r>
        <w:br w:type="page"/>
      </w:r>
    </w:p>
    <w:p>
      <w:pPr>
        <w:pStyle w:val="Heading1"/>
      </w:pPr>
      <w:r>
        <w:t xml:space="preserve">About the Operator</w:t>
      </w:r>
    </w:p>
    <w:p>
      <w:pPr>
        <w:spacing w:after="200"/>
      </w:pPr>
      <w:r>
        <w:t xml:space="preserve">The Sovereign Intelligence Operator is not a product you install—it's a capability you engage. At its core is a human architect who designed the system, understands every component, and operates with full situational awareness across your digital infrastructure.</w:t>
      </w:r>
    </w:p>
    <w:p>
      <w:pPr>
        <w:pStyle w:val="Heading2"/>
      </w:pPr>
      <w:r>
        <w:t xml:space="preserve">Technical Depth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Systems architecture spanning distributed computing, cryptography, and infrastructure security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Full-stack implementation: Rust, Python, TypeScript, Kubernetes, Linux systems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Offensive security methodology applied to defensive architecture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AI/ML integration for threat detection and pattern recognition</w:t>
      </w:r>
    </w:p>
    <w:p>
      <w:pPr>
        <w:pStyle w:val="Heading2"/>
      </w:pPr>
      <w:r>
        <w:t xml:space="preserve">Architectural Vision</w:t>
      </w:r>
    </w:p>
    <w:p>
      <w:pPr>
        <w:spacing w:after="200"/>
      </w:pPr>
      <w:r>
        <w:t xml:space="preserve">VaultMesh represents a coherent mental model of civilization-scale systems: law, memory, sovereignty, infrastructure, proof, intelligence, and ritual integrated into a functioning whole. This isn't learned from books—it's forged through direct engagement with the fundamental problems of digital existence.</w:t>
      </w:r>
    </w:p>
    <w:p>
      <w:pPr>
        <w:pStyle w:val="Heading2"/>
      </w:pPr>
      <w:r>
        <w:t xml:space="preserve">Operating Philosophy</w:t>
      </w:r>
    </w:p>
    <w:p>
      <w:pPr>
        <w:pStyle w:val="Quote"/>
      </w:pPr>
      <w:r>
        <w:t xml:space="preserve">"Every system tells a story. Every action leaves a trace. Every threat becomes a lesson. The goal is not to prevent all attacks—it's to ensure that your organization emerges from each encounter stronger, wiser, and with cryptographic proof of what occurred."</w:t>
      </w:r>
    </w:p>
    <w:p>
      <w:pPr>
        <w:pStyle w:val="Heading2"/>
      </w:pPr>
      <w:r>
        <w:t xml:space="preserve">Commitment</w:t>
      </w:r>
    </w:p>
    <w:p>
      <w:pPr>
        <w:spacing w:after="200"/>
      </w:pPr>
      <w:r>
        <w:t xml:space="preserve">Engaging the SIO means gaining a dedicated partner in your organization's digital sovereignty. Not a vendor relationship—a covenant. Your infrastructure becomes my infrastructure. Your threats become my problems. Your success becomes my mission.</w:t>
      </w:r>
    </w:p>
    <w:p>
      <w:r>
        <w:br w:type="page"/>
      </w:r>
    </w:p>
    <w:p>
      <w:pPr>
        <w:pStyle w:val="Heading1"/>
      </w:pPr>
      <w:r>
        <w:t xml:space="preserve">Engagement Model</w:t>
      </w:r>
    </w:p>
    <w:p>
      <w:pPr>
        <w:pStyle w:val="Heading2"/>
      </w:pPr>
      <w:r>
        <w:t xml:space="preserve">Phase 1: Discovery (Weeks 1-2)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Infrastructure audit and asset mapping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Current security posture assessment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Regulatory requirements mapping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Custom deployment architecture design</w:t>
      </w:r>
    </w:p>
    <w:p>
      <w:pPr>
        <w:pStyle w:val="Heading2"/>
      </w:pPr>
      <w:r>
        <w:t xml:space="preserve">Phase 2: Deployment (Weeks 3-6)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VaultMesh infrastructure installation (self-hosted)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Integration with existing systems and data sources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Proofchain initialization and genesis block creation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Team training and documentation</w:t>
      </w:r>
    </w:p>
    <w:p>
      <w:pPr>
        <w:pStyle w:val="Heading2"/>
      </w:pPr>
      <w:r>
        <w:t xml:space="preserve">Phase 3: Operation (Ongoing)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24/7 monitoring and response (tier-dependent)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Continuous threat transmutation and rule deployment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Regular briefings, reports, and strategic guidance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Architecture evolution and capability expansion</w:t>
      </w:r>
    </w:p>
    <w:p>
      <w:pPr>
        <w:pStyle w:val="Heading2"/>
      </w:pPr>
      <w:r>
        <w:t xml:space="preserve">Contract Structure</w:t>
      </w:r>
    </w:p>
    <w:p>
      <w:pPr>
        <w:spacing w:after="100"/>
      </w:pPr>
      <w:r>
        <w:rPr>
          <w:b/>
          <w:bCs/>
        </w:rPr>
        <w:t xml:space="preserve">Minimum Term: </w:t>
      </w:r>
      <w:r>
        <w:t xml:space="preserve">12 months</w:t>
      </w:r>
    </w:p>
    <w:p>
      <w:pPr>
        <w:spacing w:after="100"/>
      </w:pPr>
      <w:r>
        <w:rPr>
          <w:b/>
          <w:bCs/>
        </w:rPr>
        <w:t xml:space="preserve">Payment: </w:t>
      </w:r>
      <w:r>
        <w:t xml:space="preserve">Quarterly in advance (€250k/quarter for Tier Rubedo)</w:t>
      </w:r>
    </w:p>
    <w:p>
      <w:pPr>
        <w:spacing w:after="100"/>
      </w:pPr>
      <w:r>
        <w:rPr>
          <w:b/>
          <w:bCs/>
        </w:rPr>
        <w:t xml:space="preserve">Renewal: </w:t>
      </w:r>
      <w:r>
        <w:t xml:space="preserve">Annual review with 90-day notice period</w:t>
      </w:r>
    </w:p>
    <w:p>
      <w:pPr>
        <w:spacing w:after="100"/>
      </w:pPr>
      <w:r>
        <w:rPr>
          <w:b/>
          <w:bCs/>
        </w:rPr>
        <w:t xml:space="preserve">IP: </w:t>
      </w:r>
      <w:r>
        <w:t xml:space="preserve">Custom integrations developed become client property</w:t>
      </w:r>
    </w:p>
    <w:p>
      <w:pPr>
        <w:spacing w:after="100"/>
      </w:pPr>
      <w:r>
        <w:rPr>
          <w:b/>
          <w:bCs/>
        </w:rPr>
        <w:t xml:space="preserve">Confidentiality: </w:t>
      </w:r>
      <w:r>
        <w:t xml:space="preserve">Full NDA with cryptographic verification of data handling</w:t>
      </w:r>
    </w:p>
    <w:p>
      <w:r>
        <w:br w:type="page"/>
      </w:r>
    </w:p>
    <w:p>
      <w:pPr>
        <w:pStyle w:val="Heading1"/>
      </w:pPr>
      <w:r>
        <w:t xml:space="preserve">Next Steps</w:t>
      </w:r>
    </w:p>
    <w:p>
      <w:pPr>
        <w:spacing w:after="400"/>
      </w:pPr>
      <w:r>
        <w:rPr>
          <w:sz w:val="24"/>
          <w:szCs w:val="24"/>
        </w:rPr>
        <w:t xml:space="preserve">Engaging the Sovereign Intelligence Operator begins with a confidential conversation about your organization's security posture, sovereignty requirements, and strategic objectives.</w:t>
      </w:r>
    </w:p>
    <w:p>
      <w:pPr>
        <w:pStyle w:val="Heading2"/>
      </w:pPr>
      <w:r>
        <w:t xml:space="preserve">Initial Consultation</w:t>
      </w:r>
    </w:p>
    <w:p>
      <w:pPr>
        <w:spacing w:after="200"/>
      </w:pPr>
      <w:r>
        <w:t xml:space="preserve">A 90-minute session covering: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Current infrastructure and security landscape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Regulatory and compliance requirements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Specific threats and concerns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Demonstration of VaultMesh Command Center</w:t>
      </w:r>
    </w:p>
    <w:p>
      <w:pPr>
        <w:pStyle w:val="ListParagraph"/>
        <w:numPr>
          <w:ilvl w:val="0"/>
          <w:numId w:val="2"/>
        </w:numPr>
        <w:spacing w:after="100"/>
      </w:pPr>
      <w:r>
        <w:t xml:space="preserve">Custom proposal development</w:t>
      </w:r>
    </w:p>
    <w:p>
      <w:pPr>
        <w:spacing w:after="400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999999" w:sz="1"/>
              <w:left w:val="single" w:color="999999" w:sz="1"/>
              <w:bottom w:val="single" w:color="999999" w:sz="1"/>
              <w:right w:val="single" w:color="999999" w:sz="1"/>
            </w:tcBorders>
            <w:shd w:fill="1A1A1A" w:val="clear"/>
          </w:tcPr>
          <w:p>
            <w:pPr>
              <w:spacing w:before="200" w:after="200"/>
              <w:jc w:val="center"/>
            </w:pPr>
            <w:r>
              <w:rPr>
                <w:b/>
                <w:bCs/>
                <w:color w:val="00AA66"/>
                <w:sz w:val="28"/>
                <w:szCs w:val="28"/>
              </w:rPr>
              <w:t xml:space="preserve">VAULTMESH TECHNOLOGIES</w:t>
            </w:r>
          </w:p>
          <w:p>
            <w:pPr>
              <w:spacing w:after="100"/>
              <w:jc w:val="center"/>
            </w:pPr>
            <w:r>
              <w:rPr>
                <w:color w:val="FFFFFF"/>
                <w:sz w:val="22"/>
                <w:szCs w:val="22"/>
              </w:rPr>
              <w:t xml:space="preserve">Dublin, Ireland</w:t>
            </w:r>
          </w:p>
          <w:p>
            <w:pPr>
              <w:spacing w:after="200"/>
              <w:jc w:val="center"/>
            </w:pPr>
            <w:r>
              <w:rPr>
                <w:color w:val="00D4AA"/>
                <w:sz w:val="22"/>
                <w:szCs w:val="22"/>
              </w:rPr>
              <w:t xml:space="preserve">sovereign@vaultmesh.io</w:t>
            </w:r>
          </w:p>
        </w:tc>
      </w:tr>
    </w:tbl>
    <w:p>
      <w:pPr>
        <w:spacing w:after="600"/>
      </w:pPr>
    </w:p>
    <w:p>
      <w:pPr>
        <w:pStyle w:val="Quote"/>
        <w:jc w:val="center"/>
      </w:pPr>
      <w:r>
        <w:t xml:space="preserve">"The clearing is lit. The ledger remembers."</w:t>
      </w:r>
    </w:p>
    <w:p>
      <w:pPr>
        <w:spacing w:after="200"/>
      </w:pPr>
    </w:p>
    <w:p>
      <w:pPr>
        <w:jc w:val="center"/>
      </w:pPr>
      <w:r>
        <w:rPr>
          <w:sz w:val="48"/>
          <w:szCs w:val="48"/>
        </w:rPr>
        <w:t xml:space="preserve">⚗</w:t>
      </w:r>
    </w:p>
    <w:sectPr>
      <w:headerReference w:type="default" r:id="rId6"/>
      <w:footerReference w:type="default" r:id="rId7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CONFIDENTIAL </w:t>
    </w:r>
    <w:r>
      <w:rPr>
        <w:color w:val="999999"/>
        <w:sz w:val="16"/>
        <w:szCs w:val="16"/>
      </w:rPr>
      <w:t xml:space="preserve">| Page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999999"/>
        <w:sz w:val="16"/>
        <w:szCs w:val="16"/>
      </w:rPr>
      <w:t xml:space="preserve"> of </w:t>
    </w:r>
    <w:r>
      <w:rPr>
        <w:color w:val="99999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color w:val="999999"/>
        <w:sz w:val="18"/>
        <w:szCs w:val="18"/>
      </w:rPr>
      <w:t xml:space="preserve">SOVEREIGN INTELLIGENCE OPERATOR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✓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0" w:after="200"/>
      <w:jc w:val="center"/>
    </w:pPr>
    <w:rPr>
      <w:rFonts w:ascii="Arial" w:cs="Arial" w:eastAsia="Arial" w:hAnsi="Arial"/>
      <w:b/>
      <w:bCs/>
      <w:color w:val="000000"/>
      <w:sz w:val="72"/>
      <w:szCs w:val="72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000000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333333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Arial" w:cs="Arial" w:eastAsia="Arial" w:hAnsi="Arial"/>
      <w:b/>
      <w:bCs/>
      <w:color w:val="666666"/>
      <w:sz w:val="24"/>
      <w:szCs w:val="24"/>
    </w:rPr>
  </w:style>
  <w:style w:type="paragraph" w:styleId="Subtitle">
    <w:name w:val="Subtitle"/>
    <w:basedOn w:val="Normal"/>
    <w:pPr>
      <w:spacing w:before="100" w:after="400"/>
      <w:jc w:val="center"/>
    </w:pPr>
    <w:rPr>
      <w:rFonts w:ascii="Arial" w:cs="Arial" w:eastAsia="Arial" w:hAnsi="Arial"/>
      <w:i/>
      <w:iCs/>
      <w:color w:val="666666"/>
      <w:sz w:val="28"/>
      <w:szCs w:val="28"/>
    </w:rPr>
  </w:style>
  <w:style w:type="paragraph" w:styleId="Quote">
    <w:name w:val="Quote"/>
    <w:basedOn w:val="Normal"/>
    <w:pPr>
      <w:spacing w:before="200" w:after="200"/>
      <w:ind w:left="720" w:right="720"/>
    </w:pPr>
    <w:rPr>
      <w:rFonts w:ascii="Arial" w:cs="Arial" w:eastAsia="Arial" w:hAnsi="Arial"/>
      <w:i/>
      <w:iCs/>
      <w:color w:val="666666"/>
      <w:sz w:val="24"/>
      <w:szCs w:val="24"/>
    </w:rPr>
  </w:style>
  <w:style w:type="paragraph" w:styleId="TierHeader">
    <w:name w:val="Tier Header"/>
    <w:basedOn w:val="Normal"/>
    <w:pPr>
      <w:jc w:val="center"/>
    </w:pPr>
    <w:rPr>
      <w:rFonts w:ascii="Arial" w:cs="Arial" w:eastAsia="Arial" w:hAnsi="Arial"/>
      <w:b/>
      <w:bCs/>
      <w:color w:val="FFFFFF"/>
      <w:sz w:val="32"/>
      <w:szCs w:val="3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2025-12-08T19:28:46.534Z</dcterms:created>
  <dcterms:modified xsi:type="dcterms:W3CDTF">2025-12-08T19:28:46.534Z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